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40" w:type="dxa"/>
        <w:tblInd w:w="93" w:type="dxa"/>
        <w:tblLook w:val="04A0" w:firstRow="1" w:lastRow="0" w:firstColumn="1" w:lastColumn="0" w:noHBand="0" w:noVBand="1"/>
      </w:tblPr>
      <w:tblGrid>
        <w:gridCol w:w="2601"/>
        <w:gridCol w:w="1000"/>
        <w:gridCol w:w="1000"/>
        <w:gridCol w:w="340"/>
        <w:gridCol w:w="2039"/>
        <w:gridCol w:w="1260"/>
      </w:tblGrid>
      <w:tr w:rsidR="008C72C3" w:rsidRPr="008C72C3" w:rsidTr="008C72C3">
        <w:trPr>
          <w:trHeight w:val="313"/>
        </w:trPr>
        <w:tc>
          <w:tcPr>
            <w:tcW w:w="2601" w:type="dxa"/>
            <w:noWrap/>
            <w:vAlign w:val="bottom"/>
            <w:hideMark/>
          </w:tcPr>
          <w:p w:rsidR="008C72C3" w:rsidRPr="008C72C3" w:rsidRDefault="008C72C3" w:rsidP="008C72C3">
            <w:pPr>
              <w:spacing w:after="0"/>
              <w:rPr>
                <w:b/>
                <w:bCs/>
              </w:rPr>
            </w:pPr>
            <w:r w:rsidRPr="008C72C3">
              <w:rPr>
                <w:b/>
                <w:bCs/>
              </w:rPr>
              <w:t>MUZEJ</w:t>
            </w:r>
            <w:r>
              <w:rPr>
                <w:b/>
                <w:bCs/>
              </w:rPr>
              <w:t xml:space="preserve"> APOKSIOMENA</w:t>
            </w:r>
          </w:p>
        </w:tc>
        <w:tc>
          <w:tcPr>
            <w:tcW w:w="1000" w:type="dxa"/>
            <w:noWrap/>
            <w:vAlign w:val="bottom"/>
            <w:hideMark/>
          </w:tcPr>
          <w:p w:rsidR="008C72C3" w:rsidRPr="008C72C3" w:rsidRDefault="008C72C3" w:rsidP="008C72C3">
            <w:pPr>
              <w:spacing w:after="0"/>
              <w:rPr>
                <w:b/>
              </w:rPr>
            </w:pPr>
          </w:p>
        </w:tc>
        <w:tc>
          <w:tcPr>
            <w:tcW w:w="1000" w:type="dxa"/>
            <w:noWrap/>
            <w:vAlign w:val="bottom"/>
            <w:hideMark/>
          </w:tcPr>
          <w:p w:rsidR="008C72C3" w:rsidRPr="008C72C3" w:rsidRDefault="008C72C3" w:rsidP="008C72C3">
            <w:pPr>
              <w:spacing w:after="0"/>
              <w:rPr>
                <w:b/>
              </w:rPr>
            </w:pPr>
          </w:p>
        </w:tc>
        <w:tc>
          <w:tcPr>
            <w:tcW w:w="340" w:type="dxa"/>
            <w:noWrap/>
            <w:vAlign w:val="bottom"/>
            <w:hideMark/>
          </w:tcPr>
          <w:p w:rsidR="008C72C3" w:rsidRPr="008C72C3" w:rsidRDefault="008C72C3" w:rsidP="008C72C3">
            <w:pPr>
              <w:spacing w:after="0"/>
              <w:rPr>
                <w:b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72C3" w:rsidRPr="008C72C3" w:rsidRDefault="008C72C3" w:rsidP="008C72C3">
            <w:pPr>
              <w:spacing w:after="0"/>
              <w:rPr>
                <w:b/>
                <w:bCs/>
              </w:rPr>
            </w:pPr>
            <w:r w:rsidRPr="008C72C3">
              <w:rPr>
                <w:b/>
                <w:bCs/>
              </w:rPr>
              <w:t>RKP BROJ: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72C3" w:rsidRPr="008C72C3" w:rsidRDefault="008C72C3" w:rsidP="008C72C3">
            <w:pPr>
              <w:spacing w:after="0"/>
              <w:rPr>
                <w:b/>
              </w:rPr>
            </w:pPr>
            <w:r w:rsidRPr="008C72C3">
              <w:rPr>
                <w:b/>
              </w:rPr>
              <w:t>4</w:t>
            </w:r>
            <w:r>
              <w:rPr>
                <w:b/>
              </w:rPr>
              <w:t>9384</w:t>
            </w:r>
          </w:p>
        </w:tc>
      </w:tr>
      <w:tr w:rsidR="008C72C3" w:rsidRPr="008C72C3" w:rsidTr="008C72C3">
        <w:trPr>
          <w:trHeight w:val="317"/>
        </w:trPr>
        <w:tc>
          <w:tcPr>
            <w:tcW w:w="2601" w:type="dxa"/>
            <w:noWrap/>
            <w:vAlign w:val="bottom"/>
            <w:hideMark/>
          </w:tcPr>
          <w:p w:rsidR="008C72C3" w:rsidRPr="008C72C3" w:rsidRDefault="008C72C3" w:rsidP="008C72C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Riva lošinjskih kapetan</w:t>
            </w:r>
            <w:r w:rsidR="0001588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13</w:t>
            </w:r>
          </w:p>
        </w:tc>
        <w:tc>
          <w:tcPr>
            <w:tcW w:w="1000" w:type="dxa"/>
            <w:noWrap/>
            <w:vAlign w:val="bottom"/>
            <w:hideMark/>
          </w:tcPr>
          <w:p w:rsidR="008C72C3" w:rsidRPr="008C72C3" w:rsidRDefault="008C72C3" w:rsidP="008C72C3">
            <w:pPr>
              <w:spacing w:after="0"/>
              <w:rPr>
                <w:b/>
              </w:rPr>
            </w:pPr>
          </w:p>
        </w:tc>
        <w:tc>
          <w:tcPr>
            <w:tcW w:w="1000" w:type="dxa"/>
            <w:noWrap/>
            <w:vAlign w:val="bottom"/>
            <w:hideMark/>
          </w:tcPr>
          <w:p w:rsidR="008C72C3" w:rsidRPr="008C72C3" w:rsidRDefault="008C72C3" w:rsidP="008C72C3">
            <w:pPr>
              <w:spacing w:after="0"/>
              <w:rPr>
                <w:b/>
              </w:rPr>
            </w:pPr>
          </w:p>
        </w:tc>
        <w:tc>
          <w:tcPr>
            <w:tcW w:w="340" w:type="dxa"/>
            <w:noWrap/>
            <w:vAlign w:val="bottom"/>
            <w:hideMark/>
          </w:tcPr>
          <w:p w:rsidR="008C72C3" w:rsidRPr="008C72C3" w:rsidRDefault="008C72C3" w:rsidP="008C72C3">
            <w:pPr>
              <w:spacing w:after="0"/>
              <w:rPr>
                <w:b/>
              </w:rPr>
            </w:pP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72C3" w:rsidRPr="008C72C3" w:rsidRDefault="008C72C3" w:rsidP="008C72C3">
            <w:pPr>
              <w:spacing w:after="0"/>
              <w:rPr>
                <w:b/>
                <w:bCs/>
              </w:rPr>
            </w:pPr>
            <w:r w:rsidRPr="008C72C3">
              <w:rPr>
                <w:b/>
                <w:bCs/>
              </w:rPr>
              <w:t>RAZINA: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72C3" w:rsidRPr="008C72C3" w:rsidRDefault="008C72C3" w:rsidP="008C72C3">
            <w:pPr>
              <w:spacing w:after="0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8C72C3" w:rsidRPr="008C72C3" w:rsidTr="008C72C3">
        <w:trPr>
          <w:trHeight w:val="313"/>
        </w:trPr>
        <w:tc>
          <w:tcPr>
            <w:tcW w:w="2601" w:type="dxa"/>
            <w:noWrap/>
            <w:vAlign w:val="bottom"/>
            <w:hideMark/>
          </w:tcPr>
          <w:p w:rsidR="008C72C3" w:rsidRPr="008C72C3" w:rsidRDefault="008C72C3" w:rsidP="008C72C3">
            <w:pPr>
              <w:spacing w:after="0"/>
              <w:rPr>
                <w:b/>
                <w:bCs/>
              </w:rPr>
            </w:pPr>
            <w:r w:rsidRPr="008C72C3">
              <w:rPr>
                <w:b/>
                <w:bCs/>
              </w:rPr>
              <w:t>51 550 Mali Lošinj</w:t>
            </w:r>
          </w:p>
        </w:tc>
        <w:tc>
          <w:tcPr>
            <w:tcW w:w="1000" w:type="dxa"/>
            <w:noWrap/>
            <w:vAlign w:val="bottom"/>
            <w:hideMark/>
          </w:tcPr>
          <w:p w:rsidR="008C72C3" w:rsidRPr="008C72C3" w:rsidRDefault="008C72C3" w:rsidP="008C72C3">
            <w:pPr>
              <w:spacing w:after="0"/>
              <w:rPr>
                <w:b/>
              </w:rPr>
            </w:pPr>
          </w:p>
        </w:tc>
        <w:tc>
          <w:tcPr>
            <w:tcW w:w="1000" w:type="dxa"/>
            <w:noWrap/>
            <w:vAlign w:val="bottom"/>
            <w:hideMark/>
          </w:tcPr>
          <w:p w:rsidR="008C72C3" w:rsidRPr="008C72C3" w:rsidRDefault="008C72C3" w:rsidP="008C72C3">
            <w:pPr>
              <w:spacing w:after="0"/>
              <w:rPr>
                <w:b/>
              </w:rPr>
            </w:pPr>
          </w:p>
        </w:tc>
        <w:tc>
          <w:tcPr>
            <w:tcW w:w="340" w:type="dxa"/>
            <w:noWrap/>
            <w:vAlign w:val="bottom"/>
            <w:hideMark/>
          </w:tcPr>
          <w:p w:rsidR="008C72C3" w:rsidRPr="008C72C3" w:rsidRDefault="008C72C3" w:rsidP="008C72C3">
            <w:pPr>
              <w:spacing w:after="0"/>
              <w:rPr>
                <w:b/>
              </w:rPr>
            </w:pP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72C3" w:rsidRPr="008C72C3" w:rsidRDefault="008C72C3" w:rsidP="008C72C3">
            <w:pPr>
              <w:spacing w:after="0"/>
              <w:rPr>
                <w:b/>
                <w:bCs/>
              </w:rPr>
            </w:pPr>
            <w:r w:rsidRPr="008C72C3">
              <w:rPr>
                <w:b/>
                <w:bCs/>
              </w:rPr>
              <w:t>RAZDJEL: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72C3" w:rsidRPr="008C72C3" w:rsidRDefault="008C72C3" w:rsidP="008C72C3">
            <w:pPr>
              <w:spacing w:after="0"/>
              <w:rPr>
                <w:b/>
              </w:rPr>
            </w:pPr>
            <w:r>
              <w:rPr>
                <w:b/>
              </w:rPr>
              <w:t>055</w:t>
            </w:r>
          </w:p>
        </w:tc>
      </w:tr>
      <w:tr w:rsidR="008C72C3" w:rsidRPr="008C72C3" w:rsidTr="008C72C3">
        <w:trPr>
          <w:trHeight w:val="329"/>
        </w:trPr>
        <w:tc>
          <w:tcPr>
            <w:tcW w:w="2601" w:type="dxa"/>
            <w:noWrap/>
            <w:vAlign w:val="bottom"/>
            <w:hideMark/>
          </w:tcPr>
          <w:p w:rsidR="008C72C3" w:rsidRPr="008C72C3" w:rsidRDefault="008C72C3" w:rsidP="008C72C3">
            <w:pPr>
              <w:spacing w:after="0"/>
              <w:rPr>
                <w:b/>
              </w:rPr>
            </w:pPr>
            <w:r w:rsidRPr="008C72C3">
              <w:rPr>
                <w:b/>
                <w:bCs/>
              </w:rPr>
              <w:t>OIB:</w:t>
            </w:r>
            <w:r>
              <w:rPr>
                <w:b/>
                <w:bCs/>
              </w:rPr>
              <w:t>75800149192</w:t>
            </w:r>
          </w:p>
        </w:tc>
        <w:tc>
          <w:tcPr>
            <w:tcW w:w="1000" w:type="dxa"/>
            <w:noWrap/>
            <w:vAlign w:val="bottom"/>
            <w:hideMark/>
          </w:tcPr>
          <w:p w:rsidR="008C72C3" w:rsidRPr="008C72C3" w:rsidRDefault="008C72C3" w:rsidP="008C72C3">
            <w:pPr>
              <w:spacing w:after="0"/>
              <w:rPr>
                <w:b/>
              </w:rPr>
            </w:pPr>
          </w:p>
        </w:tc>
        <w:tc>
          <w:tcPr>
            <w:tcW w:w="1000" w:type="dxa"/>
            <w:noWrap/>
            <w:vAlign w:val="bottom"/>
            <w:hideMark/>
          </w:tcPr>
          <w:p w:rsidR="008C72C3" w:rsidRPr="008C72C3" w:rsidRDefault="008C72C3" w:rsidP="008C72C3">
            <w:pPr>
              <w:spacing w:after="0"/>
              <w:rPr>
                <w:b/>
              </w:rPr>
            </w:pPr>
          </w:p>
        </w:tc>
        <w:tc>
          <w:tcPr>
            <w:tcW w:w="340" w:type="dxa"/>
            <w:noWrap/>
            <w:vAlign w:val="bottom"/>
            <w:hideMark/>
          </w:tcPr>
          <w:p w:rsidR="008C72C3" w:rsidRPr="008C72C3" w:rsidRDefault="008C72C3" w:rsidP="008C72C3">
            <w:pPr>
              <w:spacing w:after="0"/>
              <w:rPr>
                <w:b/>
              </w:rPr>
            </w:pP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72C3" w:rsidRPr="008C72C3" w:rsidRDefault="008C72C3" w:rsidP="008C72C3">
            <w:pPr>
              <w:spacing w:after="0"/>
              <w:rPr>
                <w:b/>
                <w:bCs/>
              </w:rPr>
            </w:pPr>
            <w:r w:rsidRPr="008C72C3">
              <w:rPr>
                <w:b/>
                <w:bCs/>
              </w:rPr>
              <w:t>ŠIFRA ŽUPANIJE: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72C3" w:rsidRPr="008C72C3" w:rsidRDefault="008C72C3" w:rsidP="008C72C3">
            <w:pPr>
              <w:spacing w:after="0"/>
              <w:rPr>
                <w:b/>
              </w:rPr>
            </w:pPr>
            <w:r w:rsidRPr="008C72C3">
              <w:rPr>
                <w:b/>
              </w:rPr>
              <w:t>8</w:t>
            </w:r>
          </w:p>
        </w:tc>
      </w:tr>
      <w:tr w:rsidR="008C72C3" w:rsidRPr="008C72C3" w:rsidTr="008C72C3">
        <w:trPr>
          <w:trHeight w:val="313"/>
        </w:trPr>
        <w:tc>
          <w:tcPr>
            <w:tcW w:w="2601" w:type="dxa"/>
            <w:noWrap/>
            <w:vAlign w:val="bottom"/>
            <w:hideMark/>
          </w:tcPr>
          <w:p w:rsidR="008C72C3" w:rsidRPr="008C72C3" w:rsidRDefault="008C72C3" w:rsidP="008C72C3">
            <w:pPr>
              <w:spacing w:after="0"/>
              <w:rPr>
                <w:b/>
              </w:rPr>
            </w:pPr>
            <w:r w:rsidRPr="008C72C3">
              <w:rPr>
                <w:b/>
                <w:bCs/>
              </w:rPr>
              <w:t>MB:0</w:t>
            </w:r>
            <w:r>
              <w:rPr>
                <w:b/>
                <w:bCs/>
              </w:rPr>
              <w:t>4449274</w:t>
            </w:r>
          </w:p>
        </w:tc>
        <w:tc>
          <w:tcPr>
            <w:tcW w:w="1000" w:type="dxa"/>
            <w:noWrap/>
            <w:vAlign w:val="bottom"/>
            <w:hideMark/>
          </w:tcPr>
          <w:p w:rsidR="008C72C3" w:rsidRPr="008C72C3" w:rsidRDefault="008C72C3" w:rsidP="008C72C3">
            <w:pPr>
              <w:spacing w:after="0"/>
              <w:rPr>
                <w:b/>
              </w:rPr>
            </w:pPr>
          </w:p>
        </w:tc>
        <w:tc>
          <w:tcPr>
            <w:tcW w:w="1000" w:type="dxa"/>
            <w:noWrap/>
            <w:vAlign w:val="bottom"/>
            <w:hideMark/>
          </w:tcPr>
          <w:p w:rsidR="008C72C3" w:rsidRPr="008C72C3" w:rsidRDefault="008C72C3" w:rsidP="008C72C3">
            <w:pPr>
              <w:spacing w:after="0"/>
              <w:rPr>
                <w:b/>
              </w:rPr>
            </w:pPr>
          </w:p>
        </w:tc>
        <w:tc>
          <w:tcPr>
            <w:tcW w:w="340" w:type="dxa"/>
            <w:noWrap/>
            <w:vAlign w:val="bottom"/>
            <w:hideMark/>
          </w:tcPr>
          <w:p w:rsidR="008C72C3" w:rsidRPr="008C72C3" w:rsidRDefault="008C72C3" w:rsidP="008C72C3">
            <w:pPr>
              <w:spacing w:after="0"/>
              <w:rPr>
                <w:b/>
              </w:rPr>
            </w:pP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72C3" w:rsidRPr="008C72C3" w:rsidRDefault="008C72C3" w:rsidP="008C72C3">
            <w:pPr>
              <w:spacing w:after="0"/>
              <w:rPr>
                <w:b/>
                <w:bCs/>
              </w:rPr>
            </w:pPr>
            <w:r w:rsidRPr="008C72C3">
              <w:rPr>
                <w:b/>
                <w:bCs/>
              </w:rPr>
              <w:t>ŠIFRA GRADA: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72C3" w:rsidRPr="008C72C3" w:rsidRDefault="008C72C3" w:rsidP="008C72C3">
            <w:pPr>
              <w:spacing w:after="0"/>
              <w:rPr>
                <w:b/>
              </w:rPr>
            </w:pPr>
            <w:r w:rsidRPr="008C72C3">
              <w:rPr>
                <w:b/>
              </w:rPr>
              <w:t>252</w:t>
            </w:r>
          </w:p>
        </w:tc>
      </w:tr>
      <w:tr w:rsidR="008C72C3" w:rsidRPr="008C72C3" w:rsidTr="008C72C3">
        <w:trPr>
          <w:trHeight w:val="317"/>
        </w:trPr>
        <w:tc>
          <w:tcPr>
            <w:tcW w:w="3601" w:type="dxa"/>
            <w:gridSpan w:val="2"/>
            <w:noWrap/>
            <w:vAlign w:val="bottom"/>
            <w:hideMark/>
          </w:tcPr>
          <w:p w:rsidR="008C72C3" w:rsidRPr="008C72C3" w:rsidRDefault="008C72C3" w:rsidP="008C72C3">
            <w:pPr>
              <w:spacing w:after="0"/>
              <w:rPr>
                <w:b/>
              </w:rPr>
            </w:pPr>
            <w:r w:rsidRPr="008C72C3">
              <w:rPr>
                <w:b/>
                <w:bCs/>
              </w:rPr>
              <w:t xml:space="preserve">IBAN: </w:t>
            </w:r>
            <w:r w:rsidRPr="008C72C3">
              <w:rPr>
                <w:b/>
              </w:rPr>
              <w:t>HR</w:t>
            </w:r>
            <w:r w:rsidR="00015883" w:rsidRPr="00015883">
              <w:rPr>
                <w:b/>
              </w:rPr>
              <w:t>422402006110075</w:t>
            </w:r>
            <w:r w:rsidR="00015883">
              <w:rPr>
                <w:b/>
              </w:rPr>
              <w:t>9540</w:t>
            </w:r>
          </w:p>
          <w:p w:rsidR="008C72C3" w:rsidRPr="008C72C3" w:rsidRDefault="008C72C3" w:rsidP="00015883">
            <w:pPr>
              <w:spacing w:after="0"/>
              <w:rPr>
                <w:b/>
              </w:rPr>
            </w:pPr>
            <w:r w:rsidRPr="008C72C3">
              <w:rPr>
                <w:b/>
              </w:rPr>
              <w:t>ŠIFRA DJELATNOSTI: 910</w:t>
            </w:r>
            <w:r w:rsidR="00015883">
              <w:rPr>
                <w:b/>
              </w:rPr>
              <w:t>2</w:t>
            </w:r>
          </w:p>
        </w:tc>
        <w:tc>
          <w:tcPr>
            <w:tcW w:w="1000" w:type="dxa"/>
            <w:noWrap/>
            <w:vAlign w:val="bottom"/>
            <w:hideMark/>
          </w:tcPr>
          <w:p w:rsidR="008C72C3" w:rsidRPr="008C72C3" w:rsidRDefault="008C72C3" w:rsidP="008C72C3">
            <w:pPr>
              <w:spacing w:after="0"/>
              <w:rPr>
                <w:b/>
              </w:rPr>
            </w:pPr>
          </w:p>
        </w:tc>
        <w:tc>
          <w:tcPr>
            <w:tcW w:w="340" w:type="dxa"/>
            <w:noWrap/>
            <w:vAlign w:val="bottom"/>
            <w:hideMark/>
          </w:tcPr>
          <w:p w:rsidR="008C72C3" w:rsidRPr="008C72C3" w:rsidRDefault="008C72C3" w:rsidP="008C72C3">
            <w:pPr>
              <w:spacing w:after="0"/>
              <w:rPr>
                <w:b/>
              </w:rPr>
            </w:pPr>
          </w:p>
        </w:tc>
        <w:tc>
          <w:tcPr>
            <w:tcW w:w="2039" w:type="dxa"/>
            <w:vAlign w:val="bottom"/>
            <w:hideMark/>
          </w:tcPr>
          <w:p w:rsidR="008C72C3" w:rsidRPr="008C72C3" w:rsidRDefault="008C72C3" w:rsidP="008C72C3">
            <w:pPr>
              <w:spacing w:after="0"/>
              <w:rPr>
                <w:b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:rsidR="008C72C3" w:rsidRPr="008C72C3" w:rsidRDefault="008C72C3" w:rsidP="008C72C3">
            <w:pPr>
              <w:spacing w:after="0"/>
              <w:rPr>
                <w:b/>
              </w:rPr>
            </w:pPr>
          </w:p>
        </w:tc>
      </w:tr>
      <w:tr w:rsidR="008C72C3" w:rsidRPr="008C72C3" w:rsidTr="008C72C3">
        <w:trPr>
          <w:trHeight w:val="313"/>
        </w:trPr>
        <w:tc>
          <w:tcPr>
            <w:tcW w:w="3601" w:type="dxa"/>
            <w:gridSpan w:val="2"/>
            <w:noWrap/>
            <w:vAlign w:val="bottom"/>
          </w:tcPr>
          <w:p w:rsidR="008C72C3" w:rsidRPr="008C72C3" w:rsidRDefault="008C72C3" w:rsidP="008C72C3">
            <w:pPr>
              <w:spacing w:after="0"/>
              <w:rPr>
                <w:b/>
              </w:rPr>
            </w:pPr>
          </w:p>
          <w:p w:rsidR="008C72C3" w:rsidRPr="008C72C3" w:rsidRDefault="008C72C3" w:rsidP="008C72C3">
            <w:pPr>
              <w:spacing w:after="0"/>
              <w:rPr>
                <w:b/>
              </w:rPr>
            </w:pPr>
          </w:p>
          <w:p w:rsidR="008C72C3" w:rsidRDefault="008C72C3" w:rsidP="008C72C3">
            <w:pPr>
              <w:spacing w:after="0"/>
              <w:rPr>
                <w:b/>
              </w:rPr>
            </w:pPr>
            <w:r w:rsidRPr="008C72C3">
              <w:rPr>
                <w:b/>
              </w:rPr>
              <w:t>UVOD</w:t>
            </w:r>
          </w:p>
          <w:p w:rsidR="00D54E76" w:rsidRPr="008C72C3" w:rsidRDefault="00D54E76" w:rsidP="008C72C3">
            <w:pPr>
              <w:spacing w:after="0"/>
              <w:rPr>
                <w:b/>
              </w:rPr>
            </w:pPr>
          </w:p>
        </w:tc>
        <w:tc>
          <w:tcPr>
            <w:tcW w:w="1000" w:type="dxa"/>
            <w:noWrap/>
            <w:vAlign w:val="bottom"/>
            <w:hideMark/>
          </w:tcPr>
          <w:p w:rsidR="008C72C3" w:rsidRPr="008C72C3" w:rsidRDefault="008C72C3" w:rsidP="008C72C3">
            <w:pPr>
              <w:spacing w:after="0"/>
              <w:rPr>
                <w:b/>
              </w:rPr>
            </w:pPr>
          </w:p>
        </w:tc>
        <w:tc>
          <w:tcPr>
            <w:tcW w:w="340" w:type="dxa"/>
            <w:noWrap/>
            <w:vAlign w:val="bottom"/>
            <w:hideMark/>
          </w:tcPr>
          <w:p w:rsidR="008C72C3" w:rsidRPr="008C72C3" w:rsidRDefault="008C72C3" w:rsidP="008C72C3">
            <w:pPr>
              <w:spacing w:after="0"/>
              <w:rPr>
                <w:b/>
              </w:rPr>
            </w:pPr>
          </w:p>
        </w:tc>
        <w:tc>
          <w:tcPr>
            <w:tcW w:w="2039" w:type="dxa"/>
            <w:vAlign w:val="bottom"/>
            <w:hideMark/>
          </w:tcPr>
          <w:p w:rsidR="008C72C3" w:rsidRPr="008C72C3" w:rsidRDefault="008C72C3" w:rsidP="008C72C3">
            <w:pPr>
              <w:spacing w:after="0"/>
              <w:rPr>
                <w:b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:rsidR="008C72C3" w:rsidRPr="008C72C3" w:rsidRDefault="008C72C3" w:rsidP="008C72C3">
            <w:pPr>
              <w:spacing w:after="0"/>
              <w:rPr>
                <w:b/>
              </w:rPr>
            </w:pPr>
          </w:p>
        </w:tc>
      </w:tr>
    </w:tbl>
    <w:p w:rsidR="00D54E76" w:rsidRDefault="00D54E76" w:rsidP="00D54E76">
      <w:pPr>
        <w:spacing w:after="0"/>
      </w:pPr>
      <w:r>
        <w:t>Muzeja Apoksiomena, KLASA: 022-03/15-04/286 URBROJ: 50301-04/04-15-2, koji su potpisali REPUBLIKA HRVATSKA i GRAD MALI LOŠINJ 22. srpnja 2015. u Zagrebu. Osnivački udjeli bili su podijeljeni na dva jednaka udjela između osnivača; 50% i 50%. Dana 2. listopada 2015., Muzej Apoksiomena je upisan u sudski registar Trgovačkog suda u Rijeci. Unutarnje ustrojstvo Muzeja Apoksiomena te njegova organizacijska struktura definirani su Statutom Muzeja Apoksiomena, URBROJ: MA 5/2015. Osnovna djelatnost javne ustanove Muzej Apoksiomena je muzejska te je propisana Zakonom o muzejima (NN 61/18) i pripadajućim pravilnicima. Djelatnost Muzeja Apoksiomena obavlja se u zgradi na adresi Riva lošinjskih kapetana 13 u Malom Lošinju.</w:t>
      </w:r>
    </w:p>
    <w:p w:rsidR="00222AEF" w:rsidRDefault="00D54E76" w:rsidP="00D54E76">
      <w:pPr>
        <w:spacing w:after="0"/>
      </w:pPr>
      <w:r>
        <w:t>Dana 26. rujna 2019. sklopljen je Ugovor o prijenosu osnivačkih prava nad Muzejom Apoksiomena, KLASA: 022-03/18-04/188, URBROJ: 50301-27/20-18-2, kojim je REPUBLIKA HRVATSKA prenijela osnivačka prava nad Muzejom Apoksiomena, u udjelu od 50%, na GRAD MALI LOŠINJ. Trgovački sud u Rijeci upisao je promjenu osnivača ustanove rješenjem 22. siječnja 2019. godine, MBS:040352109. Nastavno Ugovoru o prijenosu osnivačkih prava nad Muzejom Apoksiomena, zatražena je promjena razine nadležnosti proračuna te je ona izvršena 15.01.2019. promjenom oznake razine iz 11 (Ministarstvo kulture) u 21 – Proračunski korisnik JLP(R)S Grad Mali Lošinj.</w:t>
      </w:r>
    </w:p>
    <w:p w:rsidR="00FB1AE7" w:rsidRDefault="00FB1AE7" w:rsidP="00D54E76">
      <w:pPr>
        <w:spacing w:after="0"/>
      </w:pPr>
    </w:p>
    <w:p w:rsidR="00FB1AE7" w:rsidRDefault="00FB1AE7" w:rsidP="00FB1AE7">
      <w:pPr>
        <w:spacing w:after="0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r-HR"/>
        </w:rPr>
      </w:pPr>
    </w:p>
    <w:p w:rsidR="00FB1AE7" w:rsidRDefault="00FB1AE7" w:rsidP="00FB1AE7">
      <w:pPr>
        <w:spacing w:after="0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r-HR"/>
        </w:rPr>
      </w:pPr>
    </w:p>
    <w:p w:rsidR="00FB1AE7" w:rsidRDefault="00FB1AE7" w:rsidP="00FB1AE7">
      <w:pPr>
        <w:spacing w:after="0"/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r-HR"/>
        </w:rPr>
        <w:t>BILJEŠKE UZ FINANCIJSKE IZVJEŠTAJE ZA IZVJEŠTAJNO RAZDOBLJE</w:t>
      </w:r>
    </w:p>
    <w:p w:rsidR="00FB1AE7" w:rsidRDefault="00FB1AE7" w:rsidP="00FB1AE7">
      <w:pPr>
        <w:spacing w:after="0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r-HR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r-HR"/>
        </w:rPr>
        <w:t>01.01.2018.-31.12.2018.</w:t>
      </w:r>
    </w:p>
    <w:p w:rsidR="00FB1AE7" w:rsidRDefault="00FB1AE7" w:rsidP="00D54E76">
      <w:pPr>
        <w:spacing w:after="0"/>
      </w:pPr>
    </w:p>
    <w:p w:rsidR="00222AEF" w:rsidRDefault="00222AEF" w:rsidP="00222AEF">
      <w:pPr>
        <w:spacing w:after="0"/>
      </w:pPr>
    </w:p>
    <w:p w:rsidR="00222AEF" w:rsidRPr="00C64305" w:rsidRDefault="00222AEF" w:rsidP="00222AEF">
      <w:pPr>
        <w:spacing w:after="0"/>
      </w:pPr>
      <w:r w:rsidRPr="00CB5DB9">
        <w:rPr>
          <w:b/>
        </w:rPr>
        <w:t xml:space="preserve">Bilješke uz financijski izvještaj </w:t>
      </w:r>
      <w:r w:rsidR="009F724A" w:rsidRPr="00CB5DB9">
        <w:rPr>
          <w:b/>
        </w:rPr>
        <w:t>PR-RAS</w:t>
      </w:r>
      <w:r w:rsidR="00586C60" w:rsidRPr="00CB5DB9">
        <w:rPr>
          <w:b/>
        </w:rPr>
        <w:t xml:space="preserve"> </w:t>
      </w:r>
      <w:r w:rsidRPr="00CB5DB9">
        <w:rPr>
          <w:b/>
        </w:rPr>
        <w:t>za razdoblje od 01.0</w:t>
      </w:r>
      <w:r w:rsidR="00586C60" w:rsidRPr="00CB5DB9">
        <w:rPr>
          <w:b/>
        </w:rPr>
        <w:t>1</w:t>
      </w:r>
      <w:r w:rsidRPr="00CB5DB9">
        <w:rPr>
          <w:b/>
        </w:rPr>
        <w:t>.-3</w:t>
      </w:r>
      <w:r w:rsidR="00586C60" w:rsidRPr="00CB5DB9">
        <w:rPr>
          <w:b/>
        </w:rPr>
        <w:t>1</w:t>
      </w:r>
      <w:r w:rsidRPr="00CB5DB9">
        <w:rPr>
          <w:b/>
        </w:rPr>
        <w:t>.</w:t>
      </w:r>
      <w:r w:rsidR="00586C60" w:rsidRPr="00CB5DB9">
        <w:rPr>
          <w:b/>
        </w:rPr>
        <w:t>12</w:t>
      </w:r>
      <w:r w:rsidRPr="00CB5DB9">
        <w:rPr>
          <w:b/>
        </w:rPr>
        <w:t>.201</w:t>
      </w:r>
      <w:r w:rsidR="00FB1AE7">
        <w:rPr>
          <w:b/>
        </w:rPr>
        <w:t>8</w:t>
      </w:r>
      <w:r w:rsidRPr="00CB5DB9">
        <w:rPr>
          <w:b/>
        </w:rPr>
        <w:t>.</w:t>
      </w:r>
    </w:p>
    <w:p w:rsidR="00C64305" w:rsidRDefault="00C64305" w:rsidP="00222AEF">
      <w:pPr>
        <w:spacing w:after="0"/>
        <w:rPr>
          <w:b/>
        </w:rPr>
      </w:pPr>
    </w:p>
    <w:p w:rsidR="00976037" w:rsidRPr="00944FA1" w:rsidRDefault="00EB2D6A" w:rsidP="00222AEF">
      <w:pPr>
        <w:spacing w:after="0"/>
        <w:rPr>
          <w:b/>
          <w:sz w:val="30"/>
          <w:szCs w:val="30"/>
        </w:rPr>
      </w:pPr>
      <w:r w:rsidRPr="004A4BD5">
        <w:rPr>
          <w:b/>
          <w:sz w:val="30"/>
          <w:szCs w:val="30"/>
        </w:rPr>
        <w:t>PRIHODI:</w:t>
      </w:r>
    </w:p>
    <w:p w:rsidR="009F724A" w:rsidRDefault="009F724A" w:rsidP="00222AEF">
      <w:pPr>
        <w:spacing w:after="0"/>
        <w:rPr>
          <w:b/>
        </w:rPr>
      </w:pPr>
    </w:p>
    <w:p w:rsidR="008844C7" w:rsidRDefault="00210244" w:rsidP="00A952CB">
      <w:pPr>
        <w:pStyle w:val="ListParagraph"/>
        <w:numPr>
          <w:ilvl w:val="0"/>
          <w:numId w:val="3"/>
        </w:numPr>
        <w:spacing w:after="0"/>
      </w:pPr>
      <w:r>
        <w:t>Tekuće</w:t>
      </w:r>
      <w:r w:rsidR="00D76D59" w:rsidRPr="00D76D59">
        <w:t xml:space="preserve"> pomoći proračunskim korisnicima </w:t>
      </w:r>
      <w:r w:rsidR="00D76D59" w:rsidRPr="00D76D59">
        <w:rPr>
          <w:b/>
        </w:rPr>
        <w:t>iz proračuna koji im nije nadležan</w:t>
      </w:r>
      <w:r>
        <w:rPr>
          <w:b/>
        </w:rPr>
        <w:t xml:space="preserve"> (JLP(R)S)</w:t>
      </w:r>
      <w:r w:rsidR="00D76D59" w:rsidRPr="00D76D59">
        <w:t xml:space="preserve"> – </w:t>
      </w:r>
      <w:r w:rsidR="00D76D59" w:rsidRPr="00F538F3">
        <w:rPr>
          <w:b/>
        </w:rPr>
        <w:t>AOP 06</w:t>
      </w:r>
      <w:r w:rsidR="000F6954" w:rsidRPr="00F538F3">
        <w:rPr>
          <w:b/>
        </w:rPr>
        <w:t>3</w:t>
      </w:r>
      <w:r w:rsidR="00D76D59" w:rsidRPr="00D76D59">
        <w:t xml:space="preserve"> – </w:t>
      </w:r>
      <w:r>
        <w:t xml:space="preserve">iznosi </w:t>
      </w:r>
      <w:r w:rsidR="00944FA1">
        <w:t>571</w:t>
      </w:r>
      <w:r w:rsidR="00D76D59" w:rsidRPr="00D76D59">
        <w:t>.</w:t>
      </w:r>
      <w:r w:rsidR="00944FA1">
        <w:t>173</w:t>
      </w:r>
      <w:r w:rsidR="00D76D59" w:rsidRPr="00D76D59">
        <w:t xml:space="preserve"> kn</w:t>
      </w:r>
      <w:r>
        <w:t>, za financiranje redovite djelatnosti, odnosno materijalnih troš</w:t>
      </w:r>
      <w:r w:rsidR="005E791E">
        <w:t>ko</w:t>
      </w:r>
      <w:r>
        <w:t>va i plaće zaposlenika.</w:t>
      </w:r>
    </w:p>
    <w:p w:rsidR="00A952CB" w:rsidRPr="00D76D59" w:rsidRDefault="00A952CB" w:rsidP="00A952CB">
      <w:pPr>
        <w:pStyle w:val="ListParagraph"/>
        <w:numPr>
          <w:ilvl w:val="0"/>
          <w:numId w:val="3"/>
        </w:numPr>
        <w:spacing w:after="0"/>
      </w:pPr>
      <w:r w:rsidRPr="00F538F3">
        <w:rPr>
          <w:b/>
        </w:rPr>
        <w:t>AOP 105</w:t>
      </w:r>
      <w:r>
        <w:t xml:space="preserve"> odnosi se na prihod od refundacije štete koji je pokrila Croatia osiguranje d.d.</w:t>
      </w:r>
      <w:r w:rsidR="00F538F3">
        <w:t xml:space="preserve"> nakon poplave</w:t>
      </w:r>
      <w:r w:rsidR="00D82357">
        <w:t>.</w:t>
      </w:r>
    </w:p>
    <w:p w:rsidR="003334E7" w:rsidRDefault="008E53F7" w:rsidP="003334E7">
      <w:pPr>
        <w:spacing w:after="0"/>
        <w:ind w:firstLine="708"/>
      </w:pPr>
      <w:r>
        <w:rPr>
          <w:b/>
        </w:rPr>
        <w:t>3</w:t>
      </w:r>
      <w:r w:rsidR="00C63600">
        <w:rPr>
          <w:b/>
        </w:rPr>
        <w:t>.</w:t>
      </w:r>
      <w:r w:rsidR="008844C7" w:rsidRPr="008844C7">
        <w:rPr>
          <w:b/>
        </w:rPr>
        <w:t xml:space="preserve">) </w:t>
      </w:r>
      <w:r w:rsidR="008844C7" w:rsidRPr="00EE4B1F">
        <w:rPr>
          <w:b/>
        </w:rPr>
        <w:t>AOP 1</w:t>
      </w:r>
      <w:r w:rsidR="00F538F3">
        <w:rPr>
          <w:b/>
        </w:rPr>
        <w:t>23</w:t>
      </w:r>
      <w:r w:rsidR="00C64305">
        <w:rPr>
          <w:b/>
        </w:rPr>
        <w:t xml:space="preserve"> –</w:t>
      </w:r>
      <w:r w:rsidR="00C63600">
        <w:t xml:space="preserve"> </w:t>
      </w:r>
      <w:r w:rsidR="00D76D59">
        <w:t>iznos</w:t>
      </w:r>
      <w:r>
        <w:t>i</w:t>
      </w:r>
      <w:r w:rsidR="00D76D59">
        <w:t xml:space="preserve"> </w:t>
      </w:r>
      <w:r w:rsidR="00F538F3">
        <w:t>976</w:t>
      </w:r>
      <w:r w:rsidR="00D76D59">
        <w:t>.</w:t>
      </w:r>
      <w:r w:rsidR="00F538F3">
        <w:t>560</w:t>
      </w:r>
      <w:r w:rsidR="00C64305">
        <w:t xml:space="preserve"> kn </w:t>
      </w:r>
      <w:r w:rsidR="00D76D59">
        <w:t xml:space="preserve">i </w:t>
      </w:r>
      <w:r w:rsidR="00C63600">
        <w:t>odnos</w:t>
      </w:r>
      <w:r>
        <w:t>i</w:t>
      </w:r>
      <w:r w:rsidR="00D76D59">
        <w:t xml:space="preserve"> se</w:t>
      </w:r>
      <w:r w:rsidR="00C63600">
        <w:t xml:space="preserve"> na</w:t>
      </w:r>
      <w:r w:rsidR="00210244">
        <w:t xml:space="preserve"> </w:t>
      </w:r>
      <w:r w:rsidR="00210244" w:rsidRPr="00210244">
        <w:rPr>
          <w:b/>
        </w:rPr>
        <w:t>vlastite prihode</w:t>
      </w:r>
      <w:r w:rsidR="00C63600">
        <w:t xml:space="preserve"> od</w:t>
      </w:r>
      <w:r w:rsidR="005D28E3">
        <w:t xml:space="preserve"> prodaje proizvoda i robe te</w:t>
      </w:r>
      <w:r w:rsidR="00C63600">
        <w:t xml:space="preserve"> pruženih usluga</w:t>
      </w:r>
      <w:r w:rsidR="005D28E3">
        <w:t xml:space="preserve"> ( prodaja ulaznica i suvenira ).</w:t>
      </w:r>
      <w:r w:rsidR="00C64305">
        <w:t xml:space="preserve"> </w:t>
      </w:r>
    </w:p>
    <w:p w:rsidR="000C1C27" w:rsidRDefault="008E53F7" w:rsidP="000C1C27">
      <w:pPr>
        <w:spacing w:after="0"/>
        <w:ind w:firstLine="708"/>
      </w:pPr>
      <w:r>
        <w:rPr>
          <w:b/>
        </w:rPr>
        <w:t>4</w:t>
      </w:r>
      <w:r w:rsidR="003334E7" w:rsidRPr="003334E7">
        <w:rPr>
          <w:b/>
        </w:rPr>
        <w:t>.)</w:t>
      </w:r>
      <w:r w:rsidR="00B000D0">
        <w:rPr>
          <w:b/>
        </w:rPr>
        <w:t xml:space="preserve"> </w:t>
      </w:r>
      <w:r w:rsidR="00210244">
        <w:rPr>
          <w:b/>
        </w:rPr>
        <w:t xml:space="preserve">AOP 130 –  </w:t>
      </w:r>
      <w:r w:rsidR="00210244" w:rsidRPr="00210244">
        <w:t>odnosi se na prihode</w:t>
      </w:r>
      <w:r w:rsidR="00210244">
        <w:rPr>
          <w:b/>
        </w:rPr>
        <w:t xml:space="preserve"> </w:t>
      </w:r>
      <w:r w:rsidR="003334E7">
        <w:t xml:space="preserve">koji </w:t>
      </w:r>
      <w:r w:rsidR="00C05D53">
        <w:t>s</w:t>
      </w:r>
      <w:r w:rsidR="00D82357">
        <w:t>u</w:t>
      </w:r>
      <w:r w:rsidR="00C05D53">
        <w:t xml:space="preserve"> </w:t>
      </w:r>
      <w:r w:rsidR="00D82357">
        <w:t>ostvareni</w:t>
      </w:r>
      <w:r w:rsidR="00C05D53">
        <w:t xml:space="preserve"> </w:t>
      </w:r>
      <w:r w:rsidR="00210244">
        <w:t>uplat</w:t>
      </w:r>
      <w:r w:rsidR="00D82357">
        <w:t>om</w:t>
      </w:r>
      <w:r w:rsidR="00C05D53">
        <w:t xml:space="preserve"> sredstava </w:t>
      </w:r>
      <w:r w:rsidR="005D28E3" w:rsidRPr="005D28E3">
        <w:rPr>
          <w:b/>
        </w:rPr>
        <w:t>Ministarstv</w:t>
      </w:r>
      <w:r w:rsidR="00D82357">
        <w:rPr>
          <w:b/>
        </w:rPr>
        <w:t>a</w:t>
      </w:r>
      <w:r w:rsidR="005D28E3" w:rsidRPr="005D28E3">
        <w:rPr>
          <w:b/>
        </w:rPr>
        <w:t xml:space="preserve"> kulture</w:t>
      </w:r>
      <w:r w:rsidR="00D82357">
        <w:rPr>
          <w:b/>
        </w:rPr>
        <w:t xml:space="preserve">, </w:t>
      </w:r>
      <w:r w:rsidR="00C05D53">
        <w:t>za financ</w:t>
      </w:r>
      <w:r w:rsidR="004D60E0">
        <w:t>i</w:t>
      </w:r>
      <w:r w:rsidR="00C05D53">
        <w:t xml:space="preserve">ranje redovite djelatnosti, </w:t>
      </w:r>
      <w:r w:rsidR="00D82357">
        <w:t>odnosno materijalnih troš</w:t>
      </w:r>
      <w:r w:rsidR="005E791E">
        <w:t>ko</w:t>
      </w:r>
      <w:r w:rsidR="00D82357">
        <w:t>va i plać</w:t>
      </w:r>
      <w:r w:rsidR="000C1C27">
        <w:t>e</w:t>
      </w:r>
      <w:r w:rsidR="00D82357">
        <w:t xml:space="preserve"> zaposlenika.</w:t>
      </w:r>
    </w:p>
    <w:p w:rsidR="00210244" w:rsidRDefault="00D82357" w:rsidP="00D82357">
      <w:pPr>
        <w:spacing w:after="0"/>
        <w:rPr>
          <w:b/>
        </w:rPr>
      </w:pPr>
      <w:r>
        <w:t xml:space="preserve"> </w:t>
      </w:r>
      <w:r w:rsidR="00EE4B1F">
        <w:t xml:space="preserve"> </w:t>
      </w:r>
      <w:r w:rsidR="00EB2D6A" w:rsidRPr="00CB5DB9">
        <w:rPr>
          <w:b/>
        </w:rPr>
        <w:t xml:space="preserve"> </w:t>
      </w:r>
    </w:p>
    <w:p w:rsidR="004D60E0" w:rsidRDefault="005D28E3" w:rsidP="00EE4B1F">
      <w:pPr>
        <w:spacing w:after="0"/>
        <w:ind w:firstLine="708"/>
        <w:rPr>
          <w:b/>
        </w:rPr>
      </w:pPr>
      <w:r>
        <w:t xml:space="preserve"> </w:t>
      </w:r>
      <w:r w:rsidR="00D03B62">
        <w:rPr>
          <w:b/>
        </w:rPr>
        <w:t xml:space="preserve"> </w:t>
      </w:r>
    </w:p>
    <w:p w:rsidR="00C05D53" w:rsidRPr="00D03B62" w:rsidRDefault="00C05D53" w:rsidP="00222AEF">
      <w:pPr>
        <w:spacing w:after="0"/>
      </w:pPr>
    </w:p>
    <w:p w:rsidR="00222AEF" w:rsidRDefault="00222AEF" w:rsidP="009A4941">
      <w:pPr>
        <w:pBdr>
          <w:bottom w:val="single" w:sz="4" w:space="1" w:color="auto"/>
        </w:pBdr>
        <w:spacing w:after="0"/>
      </w:pPr>
    </w:p>
    <w:p w:rsidR="003B6905" w:rsidRPr="004A4BD5" w:rsidRDefault="003B6905">
      <w:pPr>
        <w:rPr>
          <w:b/>
          <w:sz w:val="30"/>
          <w:szCs w:val="30"/>
        </w:rPr>
      </w:pPr>
      <w:r w:rsidRPr="004A4BD5">
        <w:rPr>
          <w:b/>
          <w:sz w:val="30"/>
          <w:szCs w:val="30"/>
        </w:rPr>
        <w:t>RASHODI</w:t>
      </w:r>
    </w:p>
    <w:p w:rsidR="000C1C27" w:rsidRDefault="009A4941" w:rsidP="000C1C27">
      <w:pPr>
        <w:pStyle w:val="ListParagraph"/>
        <w:numPr>
          <w:ilvl w:val="0"/>
          <w:numId w:val="2"/>
        </w:numPr>
      </w:pPr>
      <w:r w:rsidRPr="00661726">
        <w:rPr>
          <w:b/>
        </w:rPr>
        <w:t>AOP 1</w:t>
      </w:r>
      <w:r w:rsidR="008628EB" w:rsidRPr="00661726">
        <w:rPr>
          <w:b/>
        </w:rPr>
        <w:t>4</w:t>
      </w:r>
      <w:r w:rsidR="00661726" w:rsidRPr="00661726">
        <w:rPr>
          <w:b/>
        </w:rPr>
        <w:t>9</w:t>
      </w:r>
      <w:r>
        <w:t xml:space="preserve"> </w:t>
      </w:r>
      <w:r w:rsidRPr="00661726">
        <w:rPr>
          <w:b/>
        </w:rPr>
        <w:t>rashodi za zaposlene</w:t>
      </w:r>
      <w:r w:rsidR="00661726">
        <w:t xml:space="preserve"> –</w:t>
      </w:r>
      <w:r w:rsidR="000C1C27">
        <w:t xml:space="preserve"> Plaće zaposlenika i ostali rashodi za zaposlene bili su na teret pola lokalnog pola državnog proračuna prvih 9 mjeseci,  odnosno 3 kvartala. Nakon potpisanog ugovora 26. rujna 2018. nadležni proračun Muzeja Apoksiomen postaje Grad Mali Lošinj, i time zadn</w:t>
      </w:r>
      <w:r w:rsidR="00372F8B">
        <w:t>ji k</w:t>
      </w:r>
      <w:r w:rsidR="000C1C27">
        <w:t>v</w:t>
      </w:r>
      <w:r w:rsidR="00372F8B">
        <w:t>a</w:t>
      </w:r>
      <w:r w:rsidR="000C1C27">
        <w:t>rtal  - rashodi za zaposlene idu na njegov teret u 100 % iznosu.</w:t>
      </w:r>
    </w:p>
    <w:p w:rsidR="00D71FEF" w:rsidRDefault="00D71FEF" w:rsidP="00D71FEF">
      <w:pPr>
        <w:pStyle w:val="ListParagraph"/>
        <w:ind w:left="1068"/>
        <w:rPr>
          <w:b/>
        </w:rPr>
      </w:pPr>
    </w:p>
    <w:p w:rsidR="00D71FEF" w:rsidRPr="00D71FEF" w:rsidRDefault="00D71FEF" w:rsidP="00D71FEF">
      <w:pPr>
        <w:pStyle w:val="ListParagraph"/>
        <w:ind w:left="1068"/>
      </w:pPr>
      <w:r w:rsidRPr="00D71FEF">
        <w:t xml:space="preserve">Rashodi za zaposlene manji su u odnosu na prošlu godinu za oko 30 % </w:t>
      </w:r>
      <w:r>
        <w:t xml:space="preserve"> </w:t>
      </w:r>
      <w:r w:rsidR="00372F8B">
        <w:t xml:space="preserve">zato </w:t>
      </w:r>
      <w:r>
        <w:t>što je jedan zaposlenik o</w:t>
      </w:r>
      <w:r w:rsidRPr="00D71FEF">
        <w:t>tišao na porodiljni dopust</w:t>
      </w:r>
      <w:r>
        <w:t xml:space="preserve"> (6.4.-31.12.2018.)</w:t>
      </w:r>
      <w:r w:rsidRPr="00D71FEF">
        <w:t>,</w:t>
      </w:r>
      <w:r>
        <w:t xml:space="preserve"> a ravnatelj je također bio na bolovanju što na teret ustanove, što na teret HZZO ( 2.7.-</w:t>
      </w:r>
      <w:r w:rsidR="001D49FF">
        <w:t>7.9.2018.)</w:t>
      </w:r>
      <w:r w:rsidR="00A24119">
        <w:t>.</w:t>
      </w:r>
      <w:r w:rsidR="001D49FF">
        <w:t xml:space="preserve"> Time su se povećali troškovi intelektualnih usluga odnosno – ugovora o djelu i ugovora s učeničkim domovima, osobito u ljetnim mjesecima.</w:t>
      </w:r>
      <w:r w:rsidRPr="00D71FEF">
        <w:t xml:space="preserve"> </w:t>
      </w:r>
    </w:p>
    <w:p w:rsidR="00D71FEF" w:rsidRDefault="00D71FEF" w:rsidP="00D71FEF">
      <w:pPr>
        <w:pStyle w:val="ListParagraph"/>
        <w:ind w:left="1068"/>
      </w:pPr>
    </w:p>
    <w:p w:rsidR="00A24119" w:rsidRDefault="00B451DA" w:rsidP="00A24119">
      <w:pPr>
        <w:pStyle w:val="ListParagraph"/>
        <w:ind w:left="1068"/>
      </w:pPr>
      <w:r w:rsidRPr="00A24119">
        <w:rPr>
          <w:b/>
        </w:rPr>
        <w:t>AOP 160</w:t>
      </w:r>
      <w:r>
        <w:t xml:space="preserve"> </w:t>
      </w:r>
      <w:r w:rsidRPr="00A24119">
        <w:rPr>
          <w:b/>
        </w:rPr>
        <w:t>materijalni rashodi</w:t>
      </w:r>
      <w:r>
        <w:t xml:space="preserve"> – </w:t>
      </w:r>
      <w:r w:rsidR="00B000D0">
        <w:t xml:space="preserve"> iznose</w:t>
      </w:r>
      <w:r w:rsidR="00A25735">
        <w:t xml:space="preserve"> </w:t>
      </w:r>
      <w:r w:rsidR="003F1087">
        <w:t>1</w:t>
      </w:r>
      <w:r w:rsidR="005D28E3">
        <w:t>.</w:t>
      </w:r>
      <w:r w:rsidR="00D71FEF">
        <w:t>496</w:t>
      </w:r>
      <w:r w:rsidR="005D28E3">
        <w:t>.</w:t>
      </w:r>
      <w:r w:rsidR="003F1087">
        <w:t>1</w:t>
      </w:r>
      <w:r w:rsidR="00D71FEF">
        <w:t>64</w:t>
      </w:r>
      <w:r w:rsidR="00A25735">
        <w:t xml:space="preserve"> kn</w:t>
      </w:r>
      <w:r w:rsidR="003F435E">
        <w:t>.</w:t>
      </w:r>
      <w:r w:rsidR="00D71FEF">
        <w:t xml:space="preserve"> Materijalni rashodi i dalje su knjiženi na teret pola lokalnog pola državnog proračuna, odnosno prema uputi Minis</w:t>
      </w:r>
      <w:r w:rsidR="00E05FC7">
        <w:t>tarstva kulture, obzirom da ukup</w:t>
      </w:r>
      <w:r w:rsidR="00D71FEF">
        <w:t>ni rashodi za zaposlene idu na Grad Mali Lošinj, nešto veći dio materij</w:t>
      </w:r>
      <w:r w:rsidR="00391572">
        <w:t>a</w:t>
      </w:r>
      <w:r w:rsidR="00E05FC7">
        <w:t>l</w:t>
      </w:r>
      <w:r w:rsidR="00D71FEF">
        <w:t>nih troškova knjižen je na Minis</w:t>
      </w:r>
      <w:r w:rsidR="00E05FC7">
        <w:t>t</w:t>
      </w:r>
      <w:r w:rsidR="00D71FEF">
        <w:t>arstvo kulture.</w:t>
      </w:r>
      <w:r w:rsidR="004A4BD5">
        <w:t xml:space="preserve">     </w:t>
      </w:r>
    </w:p>
    <w:p w:rsidR="00A24119" w:rsidRDefault="00A24119" w:rsidP="00A24119">
      <w:pPr>
        <w:pStyle w:val="ListParagraph"/>
        <w:ind w:left="1068"/>
      </w:pPr>
    </w:p>
    <w:p w:rsidR="00750AFE" w:rsidRDefault="00A24119" w:rsidP="00A24119">
      <w:pPr>
        <w:pStyle w:val="ListParagraph"/>
        <w:ind w:left="1068"/>
      </w:pPr>
      <w:r>
        <w:t xml:space="preserve">Na </w:t>
      </w:r>
      <w:r w:rsidR="00750AFE">
        <w:t>AOP</w:t>
      </w:r>
      <w:r w:rsidR="00F42236">
        <w:t>-</w:t>
      </w:r>
      <w:r w:rsidR="00750AFE">
        <w:t>u 162 i 164 –</w:t>
      </w:r>
      <w:r>
        <w:t xml:space="preserve"> </w:t>
      </w:r>
      <w:r w:rsidR="00750AFE">
        <w:t>(</w:t>
      </w:r>
      <w:r>
        <w:t>služben</w:t>
      </w:r>
      <w:r w:rsidR="00750AFE">
        <w:t>a</w:t>
      </w:r>
      <w:r>
        <w:t xml:space="preserve"> putovanja i stručno usavršavanj</w:t>
      </w:r>
      <w:r w:rsidR="00750AFE">
        <w:t>e)</w:t>
      </w:r>
      <w:r>
        <w:t xml:space="preserve"> bilježimo porast vezan za prijavu ravnatelja na </w:t>
      </w:r>
      <w:r w:rsidR="00750AFE">
        <w:t>edukativne radionice za  Voditelja izrade i provedbe projekata financiranih iz EU fondova i odlazaka na nekoliko turističkih sajmova.</w:t>
      </w:r>
    </w:p>
    <w:p w:rsidR="00750AFE" w:rsidRDefault="00750AFE" w:rsidP="00A24119">
      <w:pPr>
        <w:pStyle w:val="ListParagraph"/>
        <w:ind w:left="1068"/>
      </w:pPr>
    </w:p>
    <w:p w:rsidR="00750AFE" w:rsidRDefault="00750AFE" w:rsidP="00A24119">
      <w:pPr>
        <w:pStyle w:val="ListParagraph"/>
        <w:ind w:left="1068"/>
      </w:pPr>
      <w:r>
        <w:t>AOP 163 imamo kao novi trošak kojeg nije bilo prošle godine , a odnosi se na troškove prijevoza s posla na posao, naime ravnatelj živi u Velom Lošinju koji je 3-4 km udaljen od radnog mjesta.</w:t>
      </w:r>
    </w:p>
    <w:p w:rsidR="00750AFE" w:rsidRDefault="00750AFE" w:rsidP="00A24119">
      <w:pPr>
        <w:pStyle w:val="ListParagraph"/>
        <w:ind w:left="1068"/>
      </w:pPr>
    </w:p>
    <w:p w:rsidR="00750AFE" w:rsidRDefault="00750AFE" w:rsidP="00A24119">
      <w:pPr>
        <w:pStyle w:val="ListParagraph"/>
        <w:ind w:left="1068"/>
      </w:pPr>
      <w:r>
        <w:t>AOP 168 – imamo povećanje od 40 % koje se o</w:t>
      </w:r>
      <w:r w:rsidR="0019027A">
        <w:t>d</w:t>
      </w:r>
      <w:r>
        <w:t>nosi na trošak robe za daljnju prodaju ( suveniri itd...)</w:t>
      </w:r>
    </w:p>
    <w:p w:rsidR="009B4053" w:rsidRDefault="009B4053" w:rsidP="00A24119">
      <w:pPr>
        <w:pStyle w:val="ListParagraph"/>
        <w:ind w:left="1068"/>
      </w:pPr>
    </w:p>
    <w:p w:rsidR="009B4053" w:rsidRDefault="009B4053" w:rsidP="00A24119">
      <w:pPr>
        <w:pStyle w:val="ListParagraph"/>
        <w:ind w:left="1068"/>
      </w:pPr>
      <w:r>
        <w:t>AOP 176  - na uslugama tekućeg održavanja imamo s</w:t>
      </w:r>
      <w:r w:rsidR="0019027A">
        <w:t>m</w:t>
      </w:r>
      <w:r>
        <w:t>anjenje troškova za 30 % u odnosu na prošlu godinu, što kazuje da je bilo puno manje kvarova i interve</w:t>
      </w:r>
      <w:r w:rsidR="0019027A">
        <w:t>n</w:t>
      </w:r>
      <w:r>
        <w:t>cija nego prethodne godine.</w:t>
      </w:r>
    </w:p>
    <w:p w:rsidR="009B4053" w:rsidRDefault="009B4053" w:rsidP="00A24119">
      <w:pPr>
        <w:pStyle w:val="ListParagraph"/>
        <w:ind w:left="1068"/>
      </w:pPr>
    </w:p>
    <w:p w:rsidR="009B4053" w:rsidRDefault="009B4053" w:rsidP="00A24119">
      <w:pPr>
        <w:pStyle w:val="ListParagraph"/>
        <w:ind w:left="1068"/>
      </w:pPr>
      <w:r>
        <w:t>AOP 179 – zakupnine – u ovoj godini više nemamo jer su otkupljena prava na fotografije korištene u izradi stalnog postava MA.</w:t>
      </w:r>
    </w:p>
    <w:p w:rsidR="009B4053" w:rsidRDefault="009B4053" w:rsidP="00A24119">
      <w:pPr>
        <w:pStyle w:val="ListParagraph"/>
        <w:ind w:left="1068"/>
      </w:pPr>
    </w:p>
    <w:p w:rsidR="00750AFE" w:rsidRDefault="009B4053" w:rsidP="00A24119">
      <w:pPr>
        <w:pStyle w:val="ListParagraph"/>
        <w:ind w:left="1068"/>
      </w:pPr>
      <w:r>
        <w:t>AOP 180 – sistematski pregledi –</w:t>
      </w:r>
      <w:r w:rsidR="00AC2245">
        <w:t xml:space="preserve"> bilježimo porast troška zbog poskupljenja zdravstvenih usluga.</w:t>
      </w:r>
      <w:r w:rsidR="00750AFE">
        <w:t xml:space="preserve">  </w:t>
      </w:r>
    </w:p>
    <w:p w:rsidR="00AC2245" w:rsidRDefault="00AC2245" w:rsidP="00A24119">
      <w:pPr>
        <w:pStyle w:val="ListParagraph"/>
        <w:ind w:left="1068"/>
      </w:pPr>
    </w:p>
    <w:p w:rsidR="00AC2245" w:rsidRDefault="00AC2245" w:rsidP="00A24119">
      <w:pPr>
        <w:pStyle w:val="ListParagraph"/>
        <w:ind w:left="1068"/>
      </w:pPr>
      <w:r>
        <w:t xml:space="preserve">AOP 182 – </w:t>
      </w:r>
      <w:r w:rsidR="001344B8">
        <w:t xml:space="preserve">računalne usluge - </w:t>
      </w:r>
      <w:r>
        <w:t>također bilježi poras</w:t>
      </w:r>
      <w:r w:rsidR="001344B8">
        <w:t xml:space="preserve">t, </w:t>
      </w:r>
      <w:r>
        <w:t>zbog većih troškova održavanja domena, web stranica</w:t>
      </w:r>
      <w:r w:rsidR="001344B8">
        <w:t>.</w:t>
      </w:r>
    </w:p>
    <w:p w:rsidR="001344B8" w:rsidRDefault="001344B8" w:rsidP="00A24119">
      <w:pPr>
        <w:pStyle w:val="ListParagraph"/>
        <w:ind w:left="1068"/>
      </w:pPr>
      <w:r>
        <w:t xml:space="preserve"> </w:t>
      </w:r>
    </w:p>
    <w:p w:rsidR="00E2602C" w:rsidRDefault="001344B8" w:rsidP="00A24119">
      <w:pPr>
        <w:pStyle w:val="ListParagraph"/>
        <w:ind w:left="1068"/>
      </w:pPr>
      <w:r>
        <w:t xml:space="preserve">AOP 184 </w:t>
      </w:r>
      <w:r w:rsidR="00E2602C">
        <w:t>–</w:t>
      </w:r>
      <w:r>
        <w:t xml:space="preserve"> </w:t>
      </w:r>
      <w:r w:rsidR="00E2602C">
        <w:t>naknade troškova osobama izvan radnog odnosa – imamo k</w:t>
      </w:r>
      <w:r w:rsidR="00E2602C" w:rsidRPr="00E2602C">
        <w:t>ao novi rashod</w:t>
      </w:r>
      <w:r w:rsidR="00E2602C">
        <w:t xml:space="preserve"> plaćeni su troškovi puta dolaska predavača koji nam je držao obuku vezanu za korištenje bar kod čitača za inventuru i općenito funkcioniranju programskog modula inventura, koji koristimo. </w:t>
      </w:r>
      <w:r w:rsidR="00E2602C" w:rsidRPr="00E2602C">
        <w:t xml:space="preserve"> </w:t>
      </w:r>
    </w:p>
    <w:p w:rsidR="00E2602C" w:rsidRDefault="00E2602C" w:rsidP="00A24119">
      <w:pPr>
        <w:pStyle w:val="ListParagraph"/>
        <w:ind w:left="1068"/>
      </w:pPr>
    </w:p>
    <w:p w:rsidR="00E2602C" w:rsidRDefault="00E2602C" w:rsidP="00A24119">
      <w:pPr>
        <w:pStyle w:val="ListParagraph"/>
        <w:ind w:left="1068"/>
      </w:pPr>
      <w:r>
        <w:t>AOP 187</w:t>
      </w:r>
      <w:r w:rsidR="00414FFA">
        <w:t xml:space="preserve"> – Premije osiguranja – imamo s</w:t>
      </w:r>
      <w:r>
        <w:t>manjenje jer u ovoj godini nismo plaćali osiguranje same statue, što u prethodnim godinama jesmo.</w:t>
      </w:r>
    </w:p>
    <w:p w:rsidR="00E2602C" w:rsidRDefault="00E2602C" w:rsidP="00A24119">
      <w:pPr>
        <w:pStyle w:val="ListParagraph"/>
        <w:ind w:left="1068"/>
      </w:pPr>
    </w:p>
    <w:p w:rsidR="00E2602C" w:rsidRDefault="00E2602C" w:rsidP="00A24119">
      <w:pPr>
        <w:pStyle w:val="ListParagraph"/>
        <w:ind w:left="1068"/>
      </w:pPr>
    </w:p>
    <w:p w:rsidR="001344B8" w:rsidRDefault="00E2602C" w:rsidP="00A24119">
      <w:pPr>
        <w:pStyle w:val="ListParagraph"/>
        <w:ind w:left="1068"/>
      </w:pPr>
      <w:r>
        <w:lastRenderedPageBreak/>
        <w:t>N</w:t>
      </w:r>
      <w:r w:rsidRPr="00E2602C">
        <w:t xml:space="preserve">a </w:t>
      </w:r>
      <w:r>
        <w:t>AOP</w:t>
      </w:r>
      <w:r w:rsidR="00414FFA">
        <w:t>-</w:t>
      </w:r>
      <w:r>
        <w:t xml:space="preserve">u 192 - </w:t>
      </w:r>
      <w:r w:rsidR="00EC48D1">
        <w:t xml:space="preserve">ostali nespomenuti rashodi poslovanja - </w:t>
      </w:r>
      <w:r w:rsidRPr="00E2602C">
        <w:t>imamo trošak vijenca i svijeća ( ima li smo smrtni slučaj ravnateljice ustanove POU ) kao i osiguranja trećih osoba u slučaju pada ili nezgode u prostor</w:t>
      </w:r>
      <w:r>
        <w:t>u naše</w:t>
      </w:r>
      <w:r w:rsidRPr="00E2602C">
        <w:t xml:space="preserve"> zgrad</w:t>
      </w:r>
      <w:r>
        <w:t>e</w:t>
      </w:r>
      <w:r w:rsidRPr="00E2602C">
        <w:t>.</w:t>
      </w:r>
    </w:p>
    <w:p w:rsidR="00750AFE" w:rsidRDefault="00750AFE" w:rsidP="00A24119">
      <w:pPr>
        <w:pStyle w:val="ListParagraph"/>
        <w:ind w:left="1068"/>
      </w:pPr>
    </w:p>
    <w:p w:rsidR="00ED2BE6" w:rsidRDefault="004A4BD5" w:rsidP="00A24119">
      <w:pPr>
        <w:pStyle w:val="ListParagraph"/>
        <w:ind w:left="1068"/>
      </w:pPr>
      <w:r>
        <w:t xml:space="preserve">     </w:t>
      </w:r>
    </w:p>
    <w:p w:rsidR="00B451DA" w:rsidRPr="003B6905" w:rsidRDefault="00CB5DB9" w:rsidP="00CB5DB9">
      <w:pPr>
        <w:ind w:firstLine="708"/>
      </w:pPr>
      <w:r>
        <w:t>3.)</w:t>
      </w:r>
      <w:r w:rsidR="006362C9">
        <w:t xml:space="preserve"> </w:t>
      </w:r>
      <w:r w:rsidR="00B451DA" w:rsidRPr="00977956">
        <w:rPr>
          <w:b/>
        </w:rPr>
        <w:t>A</w:t>
      </w:r>
      <w:r w:rsidR="002B4AE6" w:rsidRPr="00977956">
        <w:rPr>
          <w:b/>
        </w:rPr>
        <w:t>OP</w:t>
      </w:r>
      <w:r w:rsidR="003F1087">
        <w:rPr>
          <w:b/>
        </w:rPr>
        <w:t xml:space="preserve"> </w:t>
      </w:r>
      <w:r w:rsidR="00E2602C">
        <w:rPr>
          <w:b/>
        </w:rPr>
        <w:t>207</w:t>
      </w:r>
      <w:r w:rsidR="00B451DA">
        <w:t xml:space="preserve"> </w:t>
      </w:r>
      <w:r w:rsidR="00B451DA" w:rsidRPr="00CB5DB9">
        <w:rPr>
          <w:b/>
        </w:rPr>
        <w:t>financijski rashodi</w:t>
      </w:r>
      <w:r w:rsidR="00B451DA">
        <w:t xml:space="preserve"> </w:t>
      </w:r>
      <w:r w:rsidR="00B451DA" w:rsidRPr="003B6905">
        <w:rPr>
          <w:b/>
        </w:rPr>
        <w:t>–</w:t>
      </w:r>
      <w:r w:rsidR="006362C9">
        <w:rPr>
          <w:b/>
        </w:rPr>
        <w:t xml:space="preserve"> </w:t>
      </w:r>
      <w:r w:rsidR="006362C9" w:rsidRPr="006362C9">
        <w:t>iznose</w:t>
      </w:r>
      <w:r w:rsidR="006362C9">
        <w:rPr>
          <w:b/>
        </w:rPr>
        <w:t xml:space="preserve"> </w:t>
      </w:r>
      <w:r w:rsidR="00E2602C" w:rsidRPr="00E2602C">
        <w:t>10</w:t>
      </w:r>
      <w:r w:rsidR="00977956" w:rsidRPr="00956373">
        <w:t>.</w:t>
      </w:r>
      <w:r w:rsidR="00E2602C">
        <w:t>071</w:t>
      </w:r>
      <w:r w:rsidR="00977956">
        <w:rPr>
          <w:b/>
        </w:rPr>
        <w:t xml:space="preserve"> </w:t>
      </w:r>
      <w:r w:rsidR="00B451DA" w:rsidRPr="003B6905">
        <w:t>kn</w:t>
      </w:r>
      <w:r w:rsidR="00E2602C">
        <w:t xml:space="preserve"> bilježe lagani porast u odnosu na prošlu godinu.</w:t>
      </w:r>
    </w:p>
    <w:p w:rsidR="006A0795" w:rsidRDefault="00977956" w:rsidP="003F1087">
      <w:pPr>
        <w:ind w:firstLine="708"/>
      </w:pPr>
      <w:r>
        <w:t>4</w:t>
      </w:r>
      <w:r w:rsidR="00CB5DB9">
        <w:t>.)</w:t>
      </w:r>
      <w:r w:rsidR="006362C9">
        <w:t xml:space="preserve"> </w:t>
      </w:r>
      <w:r w:rsidR="002B4AE6" w:rsidRPr="00977956">
        <w:rPr>
          <w:b/>
        </w:rPr>
        <w:t>AOP 3</w:t>
      </w:r>
      <w:r w:rsidR="003F1087">
        <w:rPr>
          <w:b/>
        </w:rPr>
        <w:t>41</w:t>
      </w:r>
      <w:r w:rsidR="002B4AE6" w:rsidRPr="00977956">
        <w:rPr>
          <w:b/>
        </w:rPr>
        <w:t xml:space="preserve"> </w:t>
      </w:r>
      <w:r w:rsidR="002B4AE6" w:rsidRPr="004A4BD5">
        <w:rPr>
          <w:b/>
        </w:rPr>
        <w:t xml:space="preserve">rashodi za nabavu </w:t>
      </w:r>
      <w:r w:rsidR="001D2FEF">
        <w:rPr>
          <w:b/>
        </w:rPr>
        <w:t>nefinancijske imovine</w:t>
      </w:r>
      <w:r w:rsidR="003F1087">
        <w:rPr>
          <w:b/>
        </w:rPr>
        <w:t xml:space="preserve"> i ostala prava korištenja</w:t>
      </w:r>
      <w:r w:rsidR="002B4AE6">
        <w:t xml:space="preserve"> –</w:t>
      </w:r>
      <w:r w:rsidR="004A4BD5">
        <w:t xml:space="preserve"> iznose</w:t>
      </w:r>
      <w:r>
        <w:t xml:space="preserve"> </w:t>
      </w:r>
      <w:r w:rsidR="00F325F9">
        <w:t>118</w:t>
      </w:r>
      <w:r w:rsidR="003F1087">
        <w:t>.</w:t>
      </w:r>
      <w:r w:rsidR="00F325F9">
        <w:t>473</w:t>
      </w:r>
      <w:r w:rsidR="004A4BD5">
        <w:t xml:space="preserve"> </w:t>
      </w:r>
      <w:r w:rsidR="000706B4">
        <w:t>kn</w:t>
      </w:r>
      <w:r>
        <w:t xml:space="preserve"> </w:t>
      </w:r>
    </w:p>
    <w:p w:rsidR="00F325F9" w:rsidRDefault="00F325F9" w:rsidP="00F325F9">
      <w:pPr>
        <w:pStyle w:val="ListParagraph"/>
        <w:ind w:left="1068"/>
      </w:pPr>
      <w:r>
        <w:t>AOP 351 – u pr</w:t>
      </w:r>
      <w:r w:rsidR="004F23C2">
        <w:t>o</w:t>
      </w:r>
      <w:r>
        <w:t>šloj godini kupljena su autorska prava na fotografije korištene u izradi stalnog postava MA (Vid Barac) i koštala su 200.000 kn, ove godine taj trošak nemamo.</w:t>
      </w:r>
    </w:p>
    <w:p w:rsidR="00F325F9" w:rsidRDefault="00F325F9" w:rsidP="00F325F9">
      <w:pPr>
        <w:pStyle w:val="ListParagraph"/>
        <w:ind w:left="1068"/>
      </w:pPr>
    </w:p>
    <w:p w:rsidR="00F325F9" w:rsidRDefault="00F325F9" w:rsidP="00F325F9">
      <w:pPr>
        <w:pStyle w:val="ListParagraph"/>
        <w:ind w:left="1068"/>
      </w:pPr>
      <w:r>
        <w:t>AOP 361 – uredska oprema i namještaj – kupljen je printer, postolje i bar-kod čitač ( oprema za inventuru )</w:t>
      </w:r>
    </w:p>
    <w:p w:rsidR="00F325F9" w:rsidRDefault="00F325F9" w:rsidP="00F325F9">
      <w:pPr>
        <w:pStyle w:val="ListParagraph"/>
        <w:ind w:left="1068"/>
      </w:pPr>
      <w:r>
        <w:t>AOP 362 – komunikacijska oprema – kupljen je unutarnji i vanjs</w:t>
      </w:r>
      <w:r w:rsidR="008D2A54">
        <w:t>k</w:t>
      </w:r>
      <w:r>
        <w:t>i sustav rasvjete ( reflektori, postolja i šine ) koji su koštali oko 4</w:t>
      </w:r>
      <w:r w:rsidR="008D2A54">
        <w:t>6</w:t>
      </w:r>
      <w:r>
        <w:t>.</w:t>
      </w:r>
      <w:r w:rsidR="008D2A54">
        <w:t>5</w:t>
      </w:r>
      <w:r>
        <w:t xml:space="preserve">00 kn i </w:t>
      </w:r>
      <w:r w:rsidR="008D2A54">
        <w:t>TV Sony LFD za izlog uz media player i nosač zajedno oko 22.000 kn.</w:t>
      </w:r>
    </w:p>
    <w:p w:rsidR="008D2A54" w:rsidRDefault="008D2A54" w:rsidP="00F325F9">
      <w:pPr>
        <w:pStyle w:val="ListParagraph"/>
        <w:ind w:left="1068"/>
      </w:pPr>
    </w:p>
    <w:p w:rsidR="008D2A54" w:rsidRDefault="008D2A54" w:rsidP="00F325F9">
      <w:pPr>
        <w:pStyle w:val="ListParagraph"/>
        <w:ind w:left="1068"/>
      </w:pPr>
      <w:r>
        <w:t>AOP 363 – oprema za održavanje i zaštitu – kupljen je stroj za čišćenje,  odvlaživač, dvije pumpe(crpke) i plovak spojen na alarm...sve skupa vrijednosti  oko 40.000 kn.</w:t>
      </w:r>
    </w:p>
    <w:p w:rsidR="003F1087" w:rsidRDefault="003F1087" w:rsidP="003F1087">
      <w:pPr>
        <w:ind w:firstLine="708"/>
      </w:pPr>
    </w:p>
    <w:p w:rsidR="008D2D86" w:rsidRDefault="008D2D86" w:rsidP="008D2D86">
      <w:r>
        <w:t xml:space="preserve">Sažetak GFI Muzeja Apoksiomena za razdoblje od 01.01.-31.12.2018. </w:t>
      </w:r>
    </w:p>
    <w:p w:rsidR="008D2D86" w:rsidRDefault="008D2D86" w:rsidP="008D2D86">
      <w:r>
        <w:t xml:space="preserve">PRIHODI:   </w:t>
      </w:r>
      <w:r>
        <w:rPr>
          <w:b/>
        </w:rPr>
        <w:t>AOP 629</w:t>
      </w:r>
      <w:r w:rsidR="004E27C0">
        <w:t xml:space="preserve"> 2</w:t>
      </w:r>
      <w:r>
        <w:t>.</w:t>
      </w:r>
      <w:r w:rsidR="004E27C0">
        <w:t>087</w:t>
      </w:r>
      <w:r>
        <w:t>.</w:t>
      </w:r>
      <w:r w:rsidR="004E27C0">
        <w:t>122</w:t>
      </w:r>
      <w:r>
        <w:t xml:space="preserve"> kn</w:t>
      </w:r>
    </w:p>
    <w:p w:rsidR="008D2D86" w:rsidRDefault="008D2D86" w:rsidP="008D2D86">
      <w:r>
        <w:t xml:space="preserve">RASHODI:  </w:t>
      </w:r>
      <w:r>
        <w:rPr>
          <w:b/>
        </w:rPr>
        <w:t>AOP 630</w:t>
      </w:r>
      <w:r>
        <w:t xml:space="preserve"> </w:t>
      </w:r>
      <w:r w:rsidR="004E27C0">
        <w:t>2</w:t>
      </w:r>
      <w:r>
        <w:t>.</w:t>
      </w:r>
      <w:r w:rsidR="004E27C0">
        <w:t>030</w:t>
      </w:r>
      <w:r>
        <w:t>.</w:t>
      </w:r>
      <w:r w:rsidR="004E27C0">
        <w:t>414</w:t>
      </w:r>
      <w:r>
        <w:t xml:space="preserve"> kn</w:t>
      </w:r>
    </w:p>
    <w:p w:rsidR="008D2D86" w:rsidRDefault="008D2D86" w:rsidP="008D2D86">
      <w:r>
        <w:rPr>
          <w:b/>
        </w:rPr>
        <w:t>AOP 631</w:t>
      </w:r>
      <w:r>
        <w:t xml:space="preserve"> Višak prihoda i primitaka poslovanja: </w:t>
      </w:r>
      <w:r w:rsidR="004E27C0">
        <w:t>56</w:t>
      </w:r>
      <w:r>
        <w:t>.</w:t>
      </w:r>
      <w:r w:rsidR="004E27C0">
        <w:t>708</w:t>
      </w:r>
      <w:r>
        <w:t xml:space="preserve"> kn</w:t>
      </w:r>
    </w:p>
    <w:p w:rsidR="008D2D86" w:rsidRDefault="008D2D86" w:rsidP="008D2D86">
      <w:pPr>
        <w:pBdr>
          <w:bottom w:val="single" w:sz="4" w:space="0" w:color="auto"/>
        </w:pBdr>
      </w:pPr>
      <w:r>
        <w:rPr>
          <w:b/>
        </w:rPr>
        <w:t>AOP 63</w:t>
      </w:r>
      <w:r w:rsidR="004E27C0">
        <w:rPr>
          <w:b/>
        </w:rPr>
        <w:t>3</w:t>
      </w:r>
      <w:r>
        <w:t xml:space="preserve"> </w:t>
      </w:r>
      <w:r w:rsidR="004E27C0">
        <w:t>Višak prihoda i primitaka prenesen</w:t>
      </w:r>
      <w:r w:rsidRPr="004E27C0">
        <w:t xml:space="preserve">: </w:t>
      </w:r>
      <w:r w:rsidR="004E27C0" w:rsidRPr="004E27C0">
        <w:t>320</w:t>
      </w:r>
      <w:r>
        <w:t>.</w:t>
      </w:r>
      <w:r w:rsidR="004E27C0">
        <w:t>325</w:t>
      </w:r>
      <w:r>
        <w:t xml:space="preserve"> kn</w:t>
      </w:r>
    </w:p>
    <w:p w:rsidR="008D2D86" w:rsidRDefault="008D2D86" w:rsidP="008D2D86">
      <w:r>
        <w:rPr>
          <w:b/>
        </w:rPr>
        <w:t>AOP 635</w:t>
      </w:r>
      <w:r>
        <w:t xml:space="preserve"> Višak prihoda i primitaka raspoloživ u sljedećem razdoblju iznosi  </w:t>
      </w:r>
      <w:r w:rsidR="004E27C0">
        <w:t>377</w:t>
      </w:r>
      <w:r>
        <w:t>.</w:t>
      </w:r>
      <w:r w:rsidR="004E27C0">
        <w:t>033</w:t>
      </w:r>
      <w:r>
        <w:t xml:space="preserve"> kn</w:t>
      </w:r>
    </w:p>
    <w:p w:rsidR="00F26807" w:rsidRDefault="00F26807" w:rsidP="006A0795"/>
    <w:p w:rsidR="006B203D" w:rsidRDefault="006B203D" w:rsidP="006B203D">
      <w:pPr>
        <w:spacing w:after="0"/>
        <w:rPr>
          <w:b/>
        </w:rPr>
      </w:pPr>
    </w:p>
    <w:p w:rsidR="006B203D" w:rsidRDefault="006B203D" w:rsidP="006B203D">
      <w:pPr>
        <w:spacing w:after="0"/>
        <w:rPr>
          <w:b/>
        </w:rPr>
      </w:pPr>
      <w:r>
        <w:rPr>
          <w:b/>
        </w:rPr>
        <w:t>Bilješke uz  financijski izvještaj BILANCA za razdoblje od 01.01.-31.12.2018.</w:t>
      </w:r>
    </w:p>
    <w:p w:rsidR="006B203D" w:rsidRDefault="006B203D" w:rsidP="006B203D">
      <w:pPr>
        <w:spacing w:after="0"/>
      </w:pPr>
    </w:p>
    <w:p w:rsidR="006B203D" w:rsidRDefault="006B203D" w:rsidP="006B203D">
      <w:pPr>
        <w:spacing w:after="0"/>
      </w:pPr>
    </w:p>
    <w:p w:rsidR="006B203D" w:rsidRDefault="006B203D" w:rsidP="006B203D">
      <w:pPr>
        <w:spacing w:after="0"/>
      </w:pPr>
      <w:r>
        <w:t xml:space="preserve">Nakon obračunate amortizacije  ispravak vrijednosti dugotrajne imovine u 2018. godini iznosi 237.616 kn. </w:t>
      </w:r>
    </w:p>
    <w:p w:rsidR="006B203D" w:rsidRDefault="006B203D" w:rsidP="006B203D">
      <w:pPr>
        <w:spacing w:after="0"/>
      </w:pPr>
    </w:p>
    <w:p w:rsidR="006B203D" w:rsidRDefault="006B203D" w:rsidP="006B203D">
      <w:pPr>
        <w:spacing w:after="0"/>
      </w:pPr>
      <w:r>
        <w:t>AOP 067 koji se odnosi na novac u banci na žiro-računu 31.12.2018. iznosi 268.876 kn.</w:t>
      </w:r>
    </w:p>
    <w:p w:rsidR="006B203D" w:rsidRDefault="006B203D" w:rsidP="006B203D">
      <w:pPr>
        <w:spacing w:after="0"/>
      </w:pPr>
      <w:r>
        <w:t xml:space="preserve">AOP 071 koji se odnosi na novac u blagajni iznosi 5.110 kn.  </w:t>
      </w:r>
    </w:p>
    <w:p w:rsidR="006B203D" w:rsidRDefault="006B203D" w:rsidP="006B203D">
      <w:pPr>
        <w:spacing w:after="0"/>
      </w:pPr>
      <w:r>
        <w:t xml:space="preserve">AOP 078 koji se odnosi na polog u dnevno-noćnom trezoru iznosi 1.560 kn. </w:t>
      </w:r>
    </w:p>
    <w:p w:rsidR="006B203D" w:rsidRDefault="006B203D" w:rsidP="006B203D">
      <w:pPr>
        <w:spacing w:after="0"/>
      </w:pPr>
      <w:r>
        <w:t xml:space="preserve">AOP 080 odnosi se na plaćeni predujam i iznosi 108 kn. </w:t>
      </w:r>
    </w:p>
    <w:p w:rsidR="006B203D" w:rsidRDefault="006B203D" w:rsidP="006B203D">
      <w:pPr>
        <w:spacing w:after="0"/>
      </w:pPr>
      <w:r>
        <w:t>AOP 153 koji se odnosi na potraživanja za prihode od prodaje proizvoda i robe te pruženih usluga iznosi 4.856 kn. (4.019 kn od kupaca i 837 kn od kart</w:t>
      </w:r>
      <w:r w:rsidR="0028715A">
        <w:t>i</w:t>
      </w:r>
      <w:r>
        <w:t>čara)</w:t>
      </w:r>
    </w:p>
    <w:p w:rsidR="006B203D" w:rsidRDefault="006B203D" w:rsidP="006B203D">
      <w:pPr>
        <w:spacing w:after="0"/>
      </w:pPr>
    </w:p>
    <w:p w:rsidR="006B203D" w:rsidRDefault="006B203D" w:rsidP="006B203D">
      <w:pPr>
        <w:spacing w:after="0"/>
      </w:pPr>
      <w:r>
        <w:t>AOP 163 obuhvaća obveze za zaposlene i obveze za materijalne rashode i iznosi 87.610 kn.</w:t>
      </w:r>
    </w:p>
    <w:p w:rsidR="006B203D" w:rsidRDefault="006B203D" w:rsidP="006B203D">
      <w:pPr>
        <w:spacing w:after="0"/>
      </w:pPr>
    </w:p>
    <w:p w:rsidR="006B203D" w:rsidRDefault="006B203D" w:rsidP="006B203D">
      <w:pPr>
        <w:spacing w:after="0"/>
      </w:pPr>
      <w:r>
        <w:lastRenderedPageBreak/>
        <w:t>U godišnjem financijskom izvještaju za razdoblje od 01.01.-31.12.2018. Muzej Apoksi</w:t>
      </w:r>
      <w:r w:rsidR="00B94792">
        <w:t>o</w:t>
      </w:r>
      <w:bookmarkStart w:id="0" w:name="_GoBack"/>
      <w:bookmarkEnd w:id="0"/>
      <w:r>
        <w:t xml:space="preserve">mena je poslovao s viškom prihoda i primitaka od 377.033 kn. </w:t>
      </w:r>
    </w:p>
    <w:p w:rsidR="00793721" w:rsidRDefault="00793721" w:rsidP="00793721">
      <w:pPr>
        <w:spacing w:after="0"/>
        <w:rPr>
          <w:b/>
        </w:rPr>
      </w:pPr>
    </w:p>
    <w:p w:rsidR="00793721" w:rsidRDefault="00793721" w:rsidP="00793721">
      <w:pPr>
        <w:spacing w:after="0"/>
        <w:rPr>
          <w:b/>
        </w:rPr>
      </w:pPr>
    </w:p>
    <w:p w:rsidR="00793721" w:rsidRDefault="00793721" w:rsidP="00793721">
      <w:pPr>
        <w:spacing w:after="0"/>
        <w:rPr>
          <w:b/>
        </w:rPr>
      </w:pPr>
    </w:p>
    <w:p w:rsidR="00793721" w:rsidRDefault="00793721" w:rsidP="00793721">
      <w:pPr>
        <w:spacing w:after="0"/>
        <w:rPr>
          <w:b/>
        </w:rPr>
      </w:pPr>
      <w:r>
        <w:rPr>
          <w:b/>
        </w:rPr>
        <w:t>Bilješke uz  obrazac RAS-funkcijski za razdoblje od 01.01.-31.12.2018.</w:t>
      </w:r>
    </w:p>
    <w:p w:rsidR="006B203D" w:rsidRDefault="006B203D" w:rsidP="00793721"/>
    <w:p w:rsidR="00793721" w:rsidRDefault="00793721" w:rsidP="00793721">
      <w:r>
        <w:t>U godišnjem obrascu RAS-funkcijski za razdoblje od 01.01.-31.12.2018. Muzej Apoksiomena bilježi rashode u Službi kulture 082 (AOP 105 ) u iznosu od 2.030.414</w:t>
      </w:r>
      <w:r w:rsidR="00877665">
        <w:t xml:space="preserve"> </w:t>
      </w:r>
      <w:r>
        <w:t>kn.</w:t>
      </w:r>
    </w:p>
    <w:p w:rsidR="00793721" w:rsidRDefault="00793721" w:rsidP="00A40C66">
      <w:pPr>
        <w:spacing w:after="0"/>
      </w:pPr>
    </w:p>
    <w:p w:rsidR="00793721" w:rsidRDefault="00793721" w:rsidP="00A40C66">
      <w:pPr>
        <w:spacing w:after="0"/>
      </w:pPr>
    </w:p>
    <w:p w:rsidR="00A40C66" w:rsidRDefault="00A40C66" w:rsidP="00A40C66">
      <w:pPr>
        <w:spacing w:after="0"/>
        <w:rPr>
          <w:b/>
        </w:rPr>
      </w:pPr>
      <w:r>
        <w:rPr>
          <w:b/>
        </w:rPr>
        <w:t>Bilješke uz IZVJEŠTAJ O OBVEZAMA za razdoblje od 01.01.-31.12.2018.</w:t>
      </w:r>
    </w:p>
    <w:p w:rsidR="006B203D" w:rsidRDefault="006B203D" w:rsidP="00A40C66">
      <w:pPr>
        <w:spacing w:after="0"/>
        <w:rPr>
          <w:b/>
        </w:rPr>
      </w:pPr>
    </w:p>
    <w:p w:rsidR="005955BF" w:rsidRDefault="005955BF" w:rsidP="00A40C66">
      <w:pPr>
        <w:spacing w:after="0"/>
        <w:rPr>
          <w:b/>
        </w:rPr>
      </w:pPr>
      <w:r>
        <w:t>U  izvještaju o obvezama  stanje obveza na dan 01.01.2018. godine AOP 001 je iznosio 72.651 kn.</w:t>
      </w:r>
    </w:p>
    <w:p w:rsidR="00A40C66" w:rsidRDefault="00A40C66" w:rsidP="00A40C66">
      <w:pPr>
        <w:spacing w:after="0"/>
      </w:pPr>
    </w:p>
    <w:p w:rsidR="00A40C66" w:rsidRDefault="00A40C66" w:rsidP="00A40C66">
      <w:r>
        <w:t>Stanje obveza na kraju izvještajnog razdoblja AOP 036 31.12.2018. godine iznosi 87.610 kn.</w:t>
      </w:r>
    </w:p>
    <w:p w:rsidR="00315940" w:rsidRDefault="00315940" w:rsidP="00315940">
      <w:r>
        <w:t>Obuhvaćene obveze sadrže nedospjele obveze na 31.12.2018. za zaposlene i za materijale rashode, a bit će isplaćene u toku siječnja 2018. godine.</w:t>
      </w:r>
    </w:p>
    <w:p w:rsidR="00D23C22" w:rsidRDefault="00D23C22" w:rsidP="00A40C66"/>
    <w:p w:rsidR="007E33AF" w:rsidRDefault="007E33AF" w:rsidP="00A40C66"/>
    <w:p w:rsidR="007E33AF" w:rsidRDefault="007E33AF" w:rsidP="007E33AF">
      <w:r>
        <w:t>U Malom Lošinju, 31. siječnja 2019.</w:t>
      </w:r>
    </w:p>
    <w:p w:rsidR="007E33AF" w:rsidRDefault="007E33AF" w:rsidP="007E33AF">
      <w:pPr>
        <w:spacing w:line="240" w:lineRule="auto"/>
        <w:jc w:val="both"/>
        <w:rPr>
          <w:rFonts w:cs="Arial Unicode MS"/>
        </w:rPr>
      </w:pPr>
    </w:p>
    <w:p w:rsidR="007E33AF" w:rsidRDefault="007E33AF" w:rsidP="007E33AF">
      <w:pPr>
        <w:spacing w:line="240" w:lineRule="auto"/>
        <w:jc w:val="both"/>
        <w:rPr>
          <w:rFonts w:cs="Arial Unicode MS"/>
        </w:rPr>
      </w:pPr>
      <w:r>
        <w:rPr>
          <w:rFonts w:cs="Arial Unicode MS"/>
        </w:rPr>
        <w:t>Bilješke sastavila:</w:t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 w:rsidR="004E27C0">
        <w:rPr>
          <w:rFonts w:cs="Arial Unicode MS"/>
        </w:rPr>
        <w:t>V.d. r</w:t>
      </w:r>
      <w:r>
        <w:rPr>
          <w:rFonts w:cs="Arial Unicode MS"/>
        </w:rPr>
        <w:t>avnatelja:</w:t>
      </w:r>
    </w:p>
    <w:p w:rsidR="007E33AF" w:rsidRDefault="007E33AF" w:rsidP="007E33AF">
      <w:pPr>
        <w:spacing w:line="240" w:lineRule="auto"/>
        <w:jc w:val="both"/>
        <w:rPr>
          <w:rFonts w:cs="Arial Unicode MS"/>
          <w:sz w:val="20"/>
          <w:szCs w:val="20"/>
        </w:rPr>
      </w:pPr>
      <w:r>
        <w:rPr>
          <w:rFonts w:cs="Arial Unicode MS"/>
        </w:rPr>
        <w:t>Forida Nurul, dipl.oecc.</w:t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  <w:t>Marko Španjol</w:t>
      </w:r>
      <w:r>
        <w:rPr>
          <w:rFonts w:ascii="Calibri" w:hAnsi="Calibri"/>
          <w:color w:val="000000"/>
          <w:shd w:val="clear" w:color="auto" w:fill="FFFFFF"/>
        </w:rPr>
        <w:t xml:space="preserve">, </w:t>
      </w:r>
      <w:r w:rsidR="00980763">
        <w:rPr>
          <w:rFonts w:ascii="Calibri" w:hAnsi="Calibri"/>
          <w:color w:val="000000"/>
          <w:shd w:val="clear" w:color="auto" w:fill="FFFFFF"/>
        </w:rPr>
        <w:t>kustos</w:t>
      </w:r>
    </w:p>
    <w:p w:rsidR="007E33AF" w:rsidRDefault="007E33AF" w:rsidP="007E33AF">
      <w:pPr>
        <w:spacing w:line="240" w:lineRule="auto"/>
        <w:jc w:val="both"/>
        <w:rPr>
          <w:rFonts w:cs="Arial Unicode MS"/>
          <w:sz w:val="20"/>
          <w:szCs w:val="20"/>
        </w:rPr>
      </w:pPr>
    </w:p>
    <w:p w:rsidR="007E33AF" w:rsidRDefault="007E33AF" w:rsidP="007E33AF">
      <w:pPr>
        <w:spacing w:line="240" w:lineRule="auto"/>
        <w:jc w:val="both"/>
        <w:rPr>
          <w:rFonts w:cs="Arial Unicode MS"/>
          <w:sz w:val="20"/>
          <w:szCs w:val="20"/>
        </w:rPr>
      </w:pPr>
      <w:r>
        <w:rPr>
          <w:rFonts w:cs="Arial Unicode MS"/>
          <w:sz w:val="20"/>
          <w:szCs w:val="20"/>
        </w:rPr>
        <w:t>_______________________</w:t>
      </w:r>
      <w:r>
        <w:rPr>
          <w:rFonts w:cs="Arial Unicode MS"/>
          <w:sz w:val="20"/>
          <w:szCs w:val="20"/>
        </w:rPr>
        <w:tab/>
      </w:r>
      <w:r>
        <w:rPr>
          <w:rFonts w:cs="Arial Unicode MS"/>
          <w:sz w:val="20"/>
          <w:szCs w:val="20"/>
        </w:rPr>
        <w:tab/>
      </w:r>
      <w:r>
        <w:rPr>
          <w:rFonts w:cs="Arial Unicode MS"/>
          <w:sz w:val="20"/>
          <w:szCs w:val="20"/>
        </w:rPr>
        <w:tab/>
      </w:r>
      <w:r>
        <w:rPr>
          <w:rFonts w:cs="Arial Unicode MS"/>
          <w:sz w:val="20"/>
          <w:szCs w:val="20"/>
        </w:rPr>
        <w:tab/>
      </w:r>
      <w:r>
        <w:rPr>
          <w:rFonts w:cs="Arial Unicode MS"/>
          <w:sz w:val="20"/>
          <w:szCs w:val="20"/>
        </w:rPr>
        <w:tab/>
        <w:t>__________________________</w:t>
      </w:r>
      <w:r>
        <w:rPr>
          <w:b/>
        </w:rPr>
        <w:tab/>
      </w:r>
      <w:r>
        <w:rPr>
          <w:b/>
        </w:rPr>
        <w:tab/>
      </w:r>
    </w:p>
    <w:p w:rsidR="007E33AF" w:rsidRPr="00A40C66" w:rsidRDefault="007E33AF" w:rsidP="00A40C66"/>
    <w:sectPr w:rsidR="007E33AF" w:rsidRPr="00A40C66" w:rsidSect="00AF037B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B1FDB"/>
    <w:multiLevelType w:val="hybridMultilevel"/>
    <w:tmpl w:val="2A1E0A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A2DE0"/>
    <w:multiLevelType w:val="hybridMultilevel"/>
    <w:tmpl w:val="D5FCBA0A"/>
    <w:lvl w:ilvl="0" w:tplc="3B9E9D08">
      <w:start w:val="1"/>
      <w:numFmt w:val="decimal"/>
      <w:lvlText w:val="%1.)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0223BFA"/>
    <w:multiLevelType w:val="hybridMultilevel"/>
    <w:tmpl w:val="4886AEF8"/>
    <w:lvl w:ilvl="0" w:tplc="1250DF34">
      <w:start w:val="1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AEF"/>
    <w:rsid w:val="00015883"/>
    <w:rsid w:val="00056507"/>
    <w:rsid w:val="000706B4"/>
    <w:rsid w:val="000A47F8"/>
    <w:rsid w:val="000C1C27"/>
    <w:rsid w:val="000F6954"/>
    <w:rsid w:val="00133873"/>
    <w:rsid w:val="001344B8"/>
    <w:rsid w:val="00143CA1"/>
    <w:rsid w:val="00186360"/>
    <w:rsid w:val="0019027A"/>
    <w:rsid w:val="001A6D7F"/>
    <w:rsid w:val="001C115A"/>
    <w:rsid w:val="001D2FEF"/>
    <w:rsid w:val="001D49FF"/>
    <w:rsid w:val="001F16E1"/>
    <w:rsid w:val="00205937"/>
    <w:rsid w:val="00210244"/>
    <w:rsid w:val="00222AEF"/>
    <w:rsid w:val="00225C88"/>
    <w:rsid w:val="00230C6B"/>
    <w:rsid w:val="00253C86"/>
    <w:rsid w:val="00265F85"/>
    <w:rsid w:val="0028715A"/>
    <w:rsid w:val="002871CF"/>
    <w:rsid w:val="00287456"/>
    <w:rsid w:val="002B4AE6"/>
    <w:rsid w:val="002E1B97"/>
    <w:rsid w:val="002F225A"/>
    <w:rsid w:val="00306F9F"/>
    <w:rsid w:val="00315940"/>
    <w:rsid w:val="003334E7"/>
    <w:rsid w:val="0036779E"/>
    <w:rsid w:val="00372F8B"/>
    <w:rsid w:val="00391572"/>
    <w:rsid w:val="0039334F"/>
    <w:rsid w:val="003B6905"/>
    <w:rsid w:val="003F1087"/>
    <w:rsid w:val="003F435E"/>
    <w:rsid w:val="003F73D7"/>
    <w:rsid w:val="00414FFA"/>
    <w:rsid w:val="004A1CE7"/>
    <w:rsid w:val="004A4BD5"/>
    <w:rsid w:val="004D60E0"/>
    <w:rsid w:val="004E27C0"/>
    <w:rsid w:val="004E6FF5"/>
    <w:rsid w:val="004F23C2"/>
    <w:rsid w:val="0050716A"/>
    <w:rsid w:val="005100A6"/>
    <w:rsid w:val="00545264"/>
    <w:rsid w:val="00586C60"/>
    <w:rsid w:val="005955BF"/>
    <w:rsid w:val="005D28E3"/>
    <w:rsid w:val="005E791E"/>
    <w:rsid w:val="006362C9"/>
    <w:rsid w:val="00661726"/>
    <w:rsid w:val="006832A5"/>
    <w:rsid w:val="006A0795"/>
    <w:rsid w:val="006B203D"/>
    <w:rsid w:val="006D4A94"/>
    <w:rsid w:val="00721716"/>
    <w:rsid w:val="00750AFE"/>
    <w:rsid w:val="00793721"/>
    <w:rsid w:val="007E33AF"/>
    <w:rsid w:val="007E4085"/>
    <w:rsid w:val="008628EB"/>
    <w:rsid w:val="00877665"/>
    <w:rsid w:val="008844C7"/>
    <w:rsid w:val="008C72C3"/>
    <w:rsid w:val="008D2A54"/>
    <w:rsid w:val="008D2D86"/>
    <w:rsid w:val="008D44A6"/>
    <w:rsid w:val="008D523B"/>
    <w:rsid w:val="008E53F7"/>
    <w:rsid w:val="00937DEF"/>
    <w:rsid w:val="00944FA1"/>
    <w:rsid w:val="00956373"/>
    <w:rsid w:val="00976037"/>
    <w:rsid w:val="00977956"/>
    <w:rsid w:val="00980763"/>
    <w:rsid w:val="009976A2"/>
    <w:rsid w:val="009A4941"/>
    <w:rsid w:val="009B4053"/>
    <w:rsid w:val="009F724A"/>
    <w:rsid w:val="00A13A4E"/>
    <w:rsid w:val="00A24119"/>
    <w:rsid w:val="00A25735"/>
    <w:rsid w:val="00A40C66"/>
    <w:rsid w:val="00A952CB"/>
    <w:rsid w:val="00AA599F"/>
    <w:rsid w:val="00AC2245"/>
    <w:rsid w:val="00AF037B"/>
    <w:rsid w:val="00B000D0"/>
    <w:rsid w:val="00B01DAA"/>
    <w:rsid w:val="00B119AF"/>
    <w:rsid w:val="00B437B1"/>
    <w:rsid w:val="00B451DA"/>
    <w:rsid w:val="00B94792"/>
    <w:rsid w:val="00BC5A8B"/>
    <w:rsid w:val="00C05D53"/>
    <w:rsid w:val="00C63600"/>
    <w:rsid w:val="00C64305"/>
    <w:rsid w:val="00CB5DB9"/>
    <w:rsid w:val="00D03B62"/>
    <w:rsid w:val="00D23C22"/>
    <w:rsid w:val="00D25E89"/>
    <w:rsid w:val="00D3458C"/>
    <w:rsid w:val="00D54E76"/>
    <w:rsid w:val="00D6717C"/>
    <w:rsid w:val="00D71FEF"/>
    <w:rsid w:val="00D76D59"/>
    <w:rsid w:val="00D811E4"/>
    <w:rsid w:val="00D82357"/>
    <w:rsid w:val="00DB5E5A"/>
    <w:rsid w:val="00E03AED"/>
    <w:rsid w:val="00E05FC7"/>
    <w:rsid w:val="00E2602C"/>
    <w:rsid w:val="00EA490F"/>
    <w:rsid w:val="00EB2D6A"/>
    <w:rsid w:val="00EC48D1"/>
    <w:rsid w:val="00ED26AA"/>
    <w:rsid w:val="00ED2BE6"/>
    <w:rsid w:val="00EE37D7"/>
    <w:rsid w:val="00EE4B1F"/>
    <w:rsid w:val="00EE6590"/>
    <w:rsid w:val="00EF191F"/>
    <w:rsid w:val="00F26807"/>
    <w:rsid w:val="00F325F9"/>
    <w:rsid w:val="00F364DE"/>
    <w:rsid w:val="00F42236"/>
    <w:rsid w:val="00F51D0E"/>
    <w:rsid w:val="00F538F3"/>
    <w:rsid w:val="00F53BA9"/>
    <w:rsid w:val="00F736D1"/>
    <w:rsid w:val="00F94350"/>
    <w:rsid w:val="00FA011C"/>
    <w:rsid w:val="00FA3312"/>
    <w:rsid w:val="00FB0047"/>
    <w:rsid w:val="00FB1AE7"/>
    <w:rsid w:val="00FD510F"/>
    <w:rsid w:val="00FF3419"/>
    <w:rsid w:val="00FF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3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C2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F72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3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C2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F72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4</Pages>
  <Words>1208</Words>
  <Characters>6887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POU</cp:lastModifiedBy>
  <cp:revision>50</cp:revision>
  <cp:lastPrinted>2017-01-23T10:59:00Z</cp:lastPrinted>
  <dcterms:created xsi:type="dcterms:W3CDTF">2017-01-30T07:35:00Z</dcterms:created>
  <dcterms:modified xsi:type="dcterms:W3CDTF">2019-01-31T10:49:00Z</dcterms:modified>
</cp:coreProperties>
</file>